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DB660C" w:rsidRPr="00F71ED7" w:rsidTr="007D0E74">
        <w:trPr>
          <w:trHeight w:val="897"/>
        </w:trPr>
        <w:tc>
          <w:tcPr>
            <w:tcW w:w="3568" w:type="dxa"/>
            <w:shd w:val="clear" w:color="auto" w:fill="auto"/>
          </w:tcPr>
          <w:p w:rsidR="00DB660C" w:rsidRPr="00C1431E" w:rsidRDefault="00C1431E" w:rsidP="007D0E74">
            <w:pPr>
              <w:spacing w:before="40" w:after="40" w:line="240" w:lineRule="auto"/>
              <w:jc w:val="center"/>
              <w:rPr>
                <w:rFonts w:ascii="Times New Roman" w:hAnsi="Times New Roman" w:cs="Times New Roman"/>
                <w:b/>
                <w:sz w:val="26"/>
                <w:lang w:val="en-US"/>
              </w:rPr>
            </w:pPr>
            <w:r w:rsidRPr="00C1431E">
              <w:rPr>
                <w:rFonts w:ascii="Times New Roman" w:hAnsi="Times New Roman" w:cs="Times New Roman"/>
                <w:b/>
                <w:sz w:val="26"/>
                <w:lang w:val="en-US"/>
              </w:rPr>
              <w:t>ỦY BAN NHÂN DÂN</w:t>
            </w:r>
          </w:p>
          <w:p w:rsidR="00C1431E" w:rsidRPr="00C1431E" w:rsidRDefault="00C1431E" w:rsidP="007D0E74">
            <w:pPr>
              <w:spacing w:before="40" w:after="40" w:line="240" w:lineRule="auto"/>
              <w:jc w:val="center"/>
              <w:rPr>
                <w:rFonts w:ascii="Times New Roman" w:hAnsi="Times New Roman" w:cs="Times New Roman"/>
                <w:b/>
                <w:sz w:val="26"/>
                <w:lang w:val="en-US"/>
              </w:rPr>
            </w:pPr>
            <w:r w:rsidRPr="00C1431E">
              <w:rPr>
                <w:rFonts w:ascii="Times New Roman" w:hAnsi="Times New Roman" w:cs="Times New Roman"/>
                <w:b/>
                <w:sz w:val="26"/>
                <w:lang w:val="en-US"/>
              </w:rPr>
              <w:t xml:space="preserve"> XÃ KỲ THƯỢNG</w:t>
            </w:r>
          </w:p>
          <w:p w:rsidR="00DB660C" w:rsidRPr="00DB660C" w:rsidRDefault="00C1431E" w:rsidP="007D0E74">
            <w:pPr>
              <w:spacing w:before="40" w:after="40" w:line="240" w:lineRule="auto"/>
              <w:jc w:val="cente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767715</wp:posOffset>
                      </wp:positionH>
                      <wp:positionV relativeFrom="paragraph">
                        <wp:posOffset>24129</wp:posOffset>
                      </wp:positionV>
                      <wp:extent cx="609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" strokecolor="black [3040]">
                      <o:lock v:ext="edit" shapetype="f"/>
                    </v:line>
                  </w:pict>
                </mc:Fallback>
              </mc:AlternateContent>
            </w:r>
          </w:p>
        </w:tc>
        <w:tc>
          <w:tcPr>
            <w:tcW w:w="5660" w:type="dxa"/>
            <w:shd w:val="clear" w:color="auto" w:fill="auto"/>
          </w:tcPr>
          <w:p w:rsidR="00DB660C" w:rsidRPr="00DB660C" w:rsidRDefault="00DB660C" w:rsidP="007D0E74">
            <w:pPr>
              <w:spacing w:before="40" w:after="40" w:line="240" w:lineRule="auto"/>
              <w:jc w:val="center"/>
              <w:rPr>
                <w:rFonts w:ascii="Times New Roman" w:hAnsi="Times New Roman" w:cs="Times New Roman"/>
                <w:b/>
                <w:sz w:val="26"/>
              </w:rPr>
            </w:pPr>
            <w:r w:rsidRPr="00DB660C">
              <w:rPr>
                <w:rFonts w:ascii="Times New Roman" w:hAnsi="Times New Roman" w:cs="Times New Roman"/>
                <w:b/>
                <w:sz w:val="26"/>
              </w:rPr>
              <w:t>CỘNG HÒA XÃ HỘI CHỦ NGHĨA VIỆT NAM</w:t>
            </w:r>
          </w:p>
          <w:p w:rsidR="00DB660C" w:rsidRPr="00DB660C" w:rsidRDefault="00DB660C" w:rsidP="007D0E74">
            <w:pPr>
              <w:spacing w:before="40" w:after="40" w:line="240" w:lineRule="auto"/>
              <w:jc w:val="center"/>
              <w:rPr>
                <w:rFonts w:ascii="Times New Roman" w:hAnsi="Times New Roman" w:cs="Times New Roman"/>
                <w:b/>
                <w:sz w:val="26"/>
              </w:rPr>
            </w:pPr>
            <w:r w:rsidRPr="00DB660C">
              <w:rPr>
                <w:rFonts w:ascii="Times New Roman" w:hAnsi="Times New Roman" w:cs="Times New Roman"/>
                <w:b/>
                <w:sz w:val="26"/>
              </w:rPr>
              <w:t>Độc lập - Tự do - Hạnh phúc</w:t>
            </w:r>
          </w:p>
          <w:p w:rsidR="00DB660C" w:rsidRPr="00DB660C" w:rsidRDefault="00C1431E" w:rsidP="007D0E74">
            <w:pPr>
              <w:spacing w:before="40" w:after="40" w:line="240" w:lineRule="auto"/>
              <w:jc w:val="center"/>
              <w:rPr>
                <w:rFonts w:ascii="Times New Roman" w:hAnsi="Times New Roman" w:cs="Times New Roman"/>
                <w:i/>
              </w:rPr>
            </w:pPr>
            <w:r>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803275</wp:posOffset>
                      </wp:positionH>
                      <wp:positionV relativeFrom="paragraph">
                        <wp:posOffset>31114</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DB660C" w:rsidRPr="00DB660C" w:rsidRDefault="00DB660C" w:rsidP="007D0E74">
            <w:pPr>
              <w:spacing w:before="40" w:after="40" w:line="240" w:lineRule="auto"/>
              <w:jc w:val="center"/>
              <w:rPr>
                <w:rFonts w:ascii="Times New Roman" w:hAnsi="Times New Roman" w:cs="Times New Roman"/>
                <w:i/>
                <w:sz w:val="14"/>
              </w:rPr>
            </w:pPr>
          </w:p>
        </w:tc>
      </w:tr>
    </w:tbl>
    <w:p w:rsidR="00DB660C" w:rsidRPr="00F71ED7" w:rsidRDefault="00DB660C" w:rsidP="00DB660C">
      <w:pPr>
        <w:pStyle w:val="NormalWeb"/>
        <w:spacing w:before="40" w:beforeAutospacing="0" w:after="40" w:afterAutospacing="0" w:line="288" w:lineRule="auto"/>
        <w:ind w:firstLine="567"/>
        <w:jc w:val="center"/>
        <w:rPr>
          <w:b/>
          <w:bCs/>
          <w:sz w:val="28"/>
          <w:szCs w:val="28"/>
          <w:bdr w:val="none" w:sz="0" w:space="0" w:color="auto" w:frame="1"/>
        </w:rPr>
      </w:pPr>
      <w:r w:rsidRPr="00F71ED7">
        <w:rPr>
          <w:b/>
          <w:bCs/>
          <w:sz w:val="28"/>
          <w:szCs w:val="28"/>
          <w:bdr w:val="none" w:sz="0" w:space="0" w:color="auto" w:frame="1"/>
        </w:rPr>
        <w:t>MỘT SỐ CHÍNH SÁCH, PHÁP LUẬT</w:t>
      </w:r>
    </w:p>
    <w:p w:rsidR="00DB660C" w:rsidRPr="00F71ED7" w:rsidRDefault="00DB660C" w:rsidP="00DB660C">
      <w:pPr>
        <w:pStyle w:val="NormalWeb"/>
        <w:spacing w:before="40" w:beforeAutospacing="0" w:after="40" w:afterAutospacing="0" w:line="288" w:lineRule="auto"/>
        <w:ind w:firstLine="567"/>
        <w:jc w:val="center"/>
        <w:rPr>
          <w:b/>
          <w:bCs/>
          <w:sz w:val="28"/>
          <w:szCs w:val="28"/>
          <w:bdr w:val="none" w:sz="0" w:space="0" w:color="auto" w:frame="1"/>
        </w:rPr>
      </w:pPr>
      <w:r w:rsidRPr="00F71ED7">
        <w:rPr>
          <w:b/>
          <w:bCs/>
          <w:sz w:val="28"/>
          <w:szCs w:val="28"/>
          <w:bdr w:val="none" w:sz="0" w:space="0" w:color="auto" w:frame="1"/>
        </w:rPr>
        <w:t>CÓ HIỆU LỰC TỪ THÁNG 0</w:t>
      </w:r>
      <w:r>
        <w:rPr>
          <w:b/>
          <w:bCs/>
          <w:sz w:val="28"/>
          <w:szCs w:val="28"/>
          <w:bdr w:val="none" w:sz="0" w:space="0" w:color="auto" w:frame="1"/>
        </w:rPr>
        <w:t>2</w:t>
      </w:r>
      <w:r w:rsidRPr="00F71ED7">
        <w:rPr>
          <w:b/>
          <w:bCs/>
          <w:sz w:val="28"/>
          <w:szCs w:val="28"/>
          <w:bdr w:val="none" w:sz="0" w:space="0" w:color="auto" w:frame="1"/>
        </w:rPr>
        <w:t>/202</w:t>
      </w:r>
      <w:r>
        <w:rPr>
          <w:b/>
          <w:bCs/>
          <w:sz w:val="28"/>
          <w:szCs w:val="28"/>
          <w:bdr w:val="none" w:sz="0" w:space="0" w:color="auto" w:frame="1"/>
        </w:rPr>
        <w:t>4</w:t>
      </w:r>
    </w:p>
    <w:p w:rsidR="00454E4B" w:rsidRDefault="00075BED" w:rsidP="00CE0F6C">
      <w:pPr>
        <w:spacing w:before="60" w:after="0"/>
        <w:jc w:val="both"/>
        <w:rPr>
          <w:rFonts w:ascii="Times New Roman" w:hAnsi="Times New Roman" w:cs="Times New Roman"/>
          <w:sz w:val="32"/>
          <w:szCs w:val="32"/>
        </w:rPr>
      </w:pPr>
      <w:r w:rsidRPr="006C4541">
        <w:rPr>
          <w:rFonts w:ascii="Times New Roman" w:hAnsi="Times New Roman" w:cs="Times New Roman"/>
          <w:sz w:val="32"/>
          <w:szCs w:val="32"/>
        </w:rPr>
        <w:tab/>
      </w:r>
    </w:p>
    <w:p w:rsidR="00075BED" w:rsidRPr="00517D93" w:rsidRDefault="00075BED" w:rsidP="00FC2B29">
      <w:pPr>
        <w:spacing w:before="60" w:after="0"/>
        <w:ind w:firstLine="709"/>
        <w:jc w:val="both"/>
        <w:rPr>
          <w:rFonts w:ascii="Times New Roman" w:hAnsi="Times New Roman" w:cs="Times New Roman"/>
          <w:sz w:val="28"/>
          <w:szCs w:val="28"/>
          <w:lang w:val="en-US"/>
        </w:rPr>
      </w:pPr>
      <w:r w:rsidRPr="00517D93">
        <w:rPr>
          <w:rFonts w:ascii="Times New Roman" w:hAnsi="Times New Roman" w:cs="Times New Roman"/>
          <w:sz w:val="28"/>
          <w:szCs w:val="28"/>
        </w:rPr>
        <w:t xml:space="preserve">Trong tháng </w:t>
      </w:r>
      <w:r w:rsidR="00151D60">
        <w:rPr>
          <w:rFonts w:ascii="Times New Roman" w:hAnsi="Times New Roman" w:cs="Times New Roman"/>
          <w:sz w:val="28"/>
          <w:szCs w:val="28"/>
          <w:lang w:val="en-US"/>
        </w:rPr>
        <w:t>0</w:t>
      </w:r>
      <w:r w:rsidR="00D368CF">
        <w:rPr>
          <w:rFonts w:ascii="Times New Roman" w:hAnsi="Times New Roman" w:cs="Times New Roman"/>
          <w:sz w:val="28"/>
          <w:szCs w:val="28"/>
          <w:lang w:val="en-US"/>
        </w:rPr>
        <w:t>2</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Pr="00517D93">
        <w:rPr>
          <w:rFonts w:ascii="Times New Roman" w:hAnsi="Times New Roman" w:cs="Times New Roman"/>
          <w:sz w:val="28"/>
          <w:szCs w:val="28"/>
          <w:lang w:val="en-US"/>
        </w:rPr>
        <w:t>0</w:t>
      </w:r>
      <w:r w:rsidR="00235105">
        <w:rPr>
          <w:rFonts w:ascii="Times New Roman" w:hAnsi="Times New Roman" w:cs="Times New Roman"/>
          <w:sz w:val="28"/>
          <w:szCs w:val="28"/>
          <w:lang w:val="en-US"/>
        </w:rPr>
        <w:t>2</w:t>
      </w:r>
      <w:r w:rsidRPr="00517D93">
        <w:rPr>
          <w:rFonts w:ascii="Times New Roman" w:hAnsi="Times New Roman" w:cs="Times New Roman"/>
          <w:sz w:val="28"/>
          <w:szCs w:val="28"/>
        </w:rPr>
        <w:t xml:space="preserve"> Nghị định, </w:t>
      </w:r>
      <w:r w:rsidR="00235105">
        <w:rPr>
          <w:rFonts w:ascii="Times New Roman" w:hAnsi="Times New Roman" w:cs="Times New Roman"/>
          <w:sz w:val="28"/>
          <w:szCs w:val="28"/>
          <w:lang w:val="en-US"/>
        </w:rPr>
        <w:t>4</w:t>
      </w:r>
      <w:r w:rsidR="00BA29D1">
        <w:rPr>
          <w:rFonts w:ascii="Times New Roman" w:hAnsi="Times New Roman" w:cs="Times New Roman"/>
          <w:sz w:val="28"/>
          <w:szCs w:val="28"/>
          <w:lang w:val="en-US"/>
        </w:rPr>
        <w:t>4</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B9232C" w:rsidRPr="00251BB1" w:rsidRDefault="00B9232C" w:rsidP="00CE0F6C">
      <w:pPr>
        <w:spacing w:before="60" w:after="0"/>
        <w:ind w:firstLine="720"/>
        <w:jc w:val="both"/>
        <w:rPr>
          <w:rFonts w:ascii="Times New Roman" w:hAnsi="Times New Roman" w:cs="Times New Roman"/>
          <w:b/>
          <w:sz w:val="28"/>
          <w:szCs w:val="28"/>
          <w:lang w:val="en-US"/>
        </w:rPr>
      </w:pPr>
      <w:r w:rsidRPr="00B9232C">
        <w:rPr>
          <w:rFonts w:ascii="Times New Roman" w:hAnsi="Times New Roman" w:cs="Times New Roman"/>
          <w:b/>
          <w:sz w:val="28"/>
          <w:szCs w:val="28"/>
        </w:rPr>
        <w:t>1.  Nghị định</w:t>
      </w:r>
      <w:r w:rsidR="00C4506B">
        <w:rPr>
          <w:rFonts w:ascii="Times New Roman" w:hAnsi="Times New Roman" w:cs="Times New Roman"/>
          <w:b/>
          <w:sz w:val="28"/>
          <w:szCs w:val="28"/>
          <w:lang w:val="en-US"/>
        </w:rPr>
        <w:t xml:space="preserve"> số</w:t>
      </w:r>
      <w:r w:rsidRPr="00B9232C">
        <w:rPr>
          <w:rFonts w:ascii="Times New Roman" w:hAnsi="Times New Roman" w:cs="Times New Roman"/>
          <w:b/>
          <w:sz w:val="28"/>
          <w:szCs w:val="28"/>
        </w:rPr>
        <w:t> </w:t>
      </w:r>
      <w:hyperlink r:id="rId9" w:tgtFrame="_blank" w:history="1">
        <w:r w:rsidRPr="00B9232C">
          <w:rPr>
            <w:rStyle w:val="Hyperlink"/>
            <w:rFonts w:ascii="Times New Roman" w:hAnsi="Times New Roman" w:cs="Times New Roman"/>
            <w:b/>
            <w:color w:val="auto"/>
            <w:sz w:val="28"/>
            <w:szCs w:val="28"/>
            <w:u w:val="none"/>
          </w:rPr>
          <w:t>90/2023/NĐ-CP</w:t>
        </w:r>
      </w:hyperlink>
      <w:r>
        <w:rPr>
          <w:rFonts w:ascii="Times New Roman" w:hAnsi="Times New Roman" w:cs="Times New Roman"/>
          <w:b/>
          <w:sz w:val="28"/>
          <w:szCs w:val="28"/>
          <w:lang w:val="en-US"/>
        </w:rPr>
        <w:t xml:space="preserve"> ngày 13/12/2023 của Chính phủ quy định</w:t>
      </w:r>
      <w:r w:rsidRPr="00B9232C">
        <w:rPr>
          <w:rFonts w:ascii="Times New Roman" w:hAnsi="Times New Roman" w:cs="Times New Roman"/>
          <w:b/>
          <w:sz w:val="28"/>
          <w:szCs w:val="28"/>
        </w:rPr>
        <w:t> mức thu, chế độ thu, nộp, miễn, quản lý và sử dụng phí sử dụng đường bộcó hiệu lực từ</w:t>
      </w:r>
      <w:r w:rsidR="00251BB1">
        <w:rPr>
          <w:rFonts w:ascii="Times New Roman" w:hAnsi="Times New Roman" w:cs="Times New Roman"/>
          <w:b/>
          <w:sz w:val="28"/>
          <w:szCs w:val="28"/>
        </w:rPr>
        <w:t xml:space="preserve"> ngày 01/02/2024</w:t>
      </w:r>
    </w:p>
    <w:p w:rsidR="00F51EDC" w:rsidRDefault="00F51EDC"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w:t>
      </w:r>
      <w:r w:rsidRPr="00F51EDC">
        <w:rPr>
          <w:rFonts w:ascii="Times New Roman" w:hAnsi="Times New Roman" w:cs="Times New Roman"/>
          <w:sz w:val="28"/>
          <w:szCs w:val="28"/>
        </w:rPr>
        <w:t xml:space="preserve">Nghị định </w:t>
      </w:r>
      <w:r>
        <w:rPr>
          <w:rFonts w:ascii="Times New Roman" w:hAnsi="Times New Roman" w:cs="Times New Roman"/>
          <w:sz w:val="28"/>
          <w:szCs w:val="28"/>
          <w:lang w:val="en-US"/>
        </w:rPr>
        <w:t>có một số nội dung đáng chú ý sau:</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Có 05 </w:t>
      </w:r>
      <w:r w:rsidRPr="00F51EDC">
        <w:rPr>
          <w:rFonts w:ascii="Times New Roman" w:hAnsi="Times New Roman" w:cs="Times New Roman"/>
          <w:sz w:val="28"/>
          <w:szCs w:val="28"/>
        </w:rPr>
        <w:t>trường hợp được miễn phí sử dụng đường bộ gồm:</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cứu thương.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chữa cháy.</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phục vụ tang lễ: Xe tang, xe tải lạnh dùng để lưu xác và chở xác; xe chở khách đi cùng xe tang, xe tải chở hoa tang…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chuyên dùng phục vụ quốc phòng gồm: Các xe ô tô mang biển nền đỏ, chữ và số màu trắng dập chìm có gắn thiết bị chuyên dụng cho quốc phòng như xe xi téc, cần cẩu, chở lực lượng vũ trang hành quân, xe cứu hộ, cứu nạn, xe chuyên dùng chở phạm nhân…</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Xe chuyên dùng của hệ thống lực lượng công an: Xe cảnh sát giao thông, cảnh sát 113, cảnh sát cơ động, xe chở phạm nhân, cứu hộ, cứu nạn, xe đặc chủng của lực lượng công an nhân dân.</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Mức thu phí sử dụng đường bộ 01 tháng của các phương tiện như sau:</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chở người dưới 10 chỗ đăng ký tên cá nhân, hộ kinh doanh là 130.000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chở người dưới 10 chỗ (trừ xe quy định tại điểm 1 nêu trên); xe tải, xe ô tô chuyên dùng có khối lượng toàn bộ dưới 4.000 kg; các loại xe buýt vận tải hành khách công cộng (bao gồm cả xe đưa đón học sinh, sinh viên, công nhân được hưởng chính sách trợ giá như xe buýt); xe chở hàng và xe chở người 4 bánh có gắn động cơ là 180.000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lastRenderedPageBreak/>
        <w:t>Xe tải, xe ô tô chuyên dùng có khối lượng toàn bộ từ 19.000 - 27.000 kg; xe đầu kéo có khối lượng bản thân cộng với khối lượng cho phép kéo theo từ 19.000 - 27.000 kg  là 720.000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tải, xe ô tô chuyên dùng có khối lượng toàn bộ từ 27.000 kg trở lên; xe đầu kéo có khối lượng bản thân cộng với khối lượng cho phép kéo theo từ 27.000 - 40.000 kg là 1,040 triệu đồng/tháng.</w:t>
      </w:r>
    </w:p>
    <w:p w:rsidR="00F51EDC" w:rsidRPr="00F51EDC" w:rsidRDefault="00F51EDC" w:rsidP="00CE0F6C">
      <w:pPr>
        <w:spacing w:before="60" w:after="0"/>
        <w:ind w:firstLine="720"/>
        <w:jc w:val="both"/>
        <w:rPr>
          <w:rFonts w:ascii="Times New Roman" w:hAnsi="Times New Roman" w:cs="Times New Roman"/>
          <w:sz w:val="28"/>
          <w:szCs w:val="28"/>
        </w:rPr>
      </w:pPr>
      <w:r w:rsidRPr="00F51EDC">
        <w:rPr>
          <w:rFonts w:ascii="Times New Roman" w:hAnsi="Times New Roman" w:cs="Times New Roman"/>
          <w:sz w:val="28"/>
          <w:szCs w:val="28"/>
        </w:rPr>
        <w:t>Xe đầu kéo có khối lượng bản thân cộng với khối lượng cho phép kéo theo từ 40.000 kg trở lên có mức phí 1,430 triệu đồng/tháng…</w:t>
      </w:r>
    </w:p>
    <w:p w:rsidR="00F51EDC" w:rsidRPr="00F51EDC" w:rsidRDefault="00F51ED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51EDC">
        <w:rPr>
          <w:rFonts w:ascii="Times New Roman" w:hAnsi="Times New Roman" w:cs="Times New Roman"/>
          <w:sz w:val="28"/>
          <w:szCs w:val="28"/>
        </w:rPr>
        <w:t xml:space="preserve"> Mức thu của 1 tháng năm thứ 2 (từ tháng thứ 13 đến tháng thứ 24 tính từ khi đăng kiểm và nộp phí) bằng 92% mức phí của 1 tháng như biểu quy định. Mức thu của 1 tháng năm thứ 3 (từ tháng thứ 25 đến tháng thứ 36 tính từ khi đăng kiểm và nộp phí) bằng 85% mức phí của 1 tháng trong biểu quy định.</w:t>
      </w:r>
    </w:p>
    <w:p w:rsidR="00B9232C" w:rsidRPr="009442CE" w:rsidRDefault="00FD3944" w:rsidP="00CE0F6C">
      <w:pPr>
        <w:spacing w:before="60" w:after="0"/>
        <w:ind w:firstLine="720"/>
        <w:jc w:val="both"/>
        <w:rPr>
          <w:rFonts w:ascii="Times New Roman" w:hAnsi="Times New Roman" w:cs="Times New Roman"/>
          <w:b/>
          <w:sz w:val="28"/>
          <w:szCs w:val="28"/>
        </w:rPr>
      </w:pPr>
      <w:r w:rsidRPr="009442CE">
        <w:rPr>
          <w:rFonts w:ascii="Times New Roman" w:hAnsi="Times New Roman" w:cs="Times New Roman"/>
          <w:b/>
          <w:sz w:val="28"/>
          <w:szCs w:val="28"/>
        </w:rPr>
        <w:t>2. Nghị định 87/2023/NĐ-CP ngày 08/12/2023 của Chính phủ quy định về phòng, chống tiền giả và bảo vệ tiền Việt Nam, có hiệu lực từ ngày 02/02/2024</w:t>
      </w:r>
    </w:p>
    <w:p w:rsidR="0084455E" w:rsidRDefault="009442CE"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Nghị định </w:t>
      </w:r>
      <w:r w:rsidR="0084455E">
        <w:rPr>
          <w:rFonts w:ascii="Times New Roman" w:hAnsi="Times New Roman" w:cs="Times New Roman"/>
          <w:sz w:val="28"/>
          <w:szCs w:val="28"/>
          <w:lang w:val="en-US"/>
        </w:rPr>
        <w:t>có một số nội dung đáng chú ý như sau:</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Cơ quan, tổ chức, cá nhân thực hiện sao, chụp hình ảnh tiền Việt Nam phải đáp ứng một trong 04 điều kiện, tiêu chuẩn sau:</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một phần hình ảnh, hoa văn của tiền Việt Nam không vượt quá 1/3 diện tích mặt trước hoặc mặt sau tờ tiền;</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một mặt đồng tiền Việt Nam với kích thước chiều dài và chiều rộng đối với tiền giấy, đường kính đối với tiền kim loại nhỏ hơn 75% hoặc lớn hơn 150% kích thước của tiền thật cùng mệnh giá;</w:t>
      </w:r>
    </w:p>
    <w:p w:rsidR="00FD3944" w:rsidRPr="00FD3944" w:rsidRDefault="0084455E"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hai mặt đồng tiền Việt Nam với kích thước chiều dài và chiều rộng đối với tiền giấy, đường kính đối với tiền kim loại nhỏ hơn 50% hoặc lớn hơn 200% kích thước của tiền thật cùng mệnh giá;</w:t>
      </w:r>
    </w:p>
    <w:p w:rsidR="00AD4F7C" w:rsidRDefault="0084455E"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D3944" w:rsidRPr="00FD3944">
        <w:rPr>
          <w:rFonts w:ascii="Times New Roman" w:hAnsi="Times New Roman" w:cs="Times New Roman"/>
          <w:sz w:val="28"/>
          <w:szCs w:val="28"/>
        </w:rPr>
        <w:t xml:space="preserve"> Sao, chụp hình ảnh thành bản điện tử để đưa lên không gian mạng có độ phân giải tối đa không vượt quá 72dpi với kích thước tương đương tiền thật cùng mệnh </w:t>
      </w:r>
      <w:r>
        <w:rPr>
          <w:rFonts w:ascii="Times New Roman" w:hAnsi="Times New Roman" w:cs="Times New Roman"/>
          <w:sz w:val="28"/>
          <w:szCs w:val="28"/>
          <w:lang w:val="en-US"/>
        </w:rPr>
        <w:t>g</w:t>
      </w:r>
      <w:r w:rsidR="00FD3944" w:rsidRPr="00FD3944">
        <w:rPr>
          <w:rFonts w:ascii="Times New Roman" w:hAnsi="Times New Roman" w:cs="Times New Roman"/>
          <w:sz w:val="28"/>
          <w:szCs w:val="28"/>
        </w:rPr>
        <w:t>iá.</w:t>
      </w:r>
    </w:p>
    <w:p w:rsidR="00AD4F7C" w:rsidRPr="00AD4F7C" w:rsidRDefault="00AD4F7C"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C</w:t>
      </w:r>
      <w:r w:rsidRPr="00AD4F7C">
        <w:rPr>
          <w:rFonts w:ascii="Times New Roman" w:hAnsi="Times New Roman" w:cs="Times New Roman"/>
          <w:sz w:val="28"/>
          <w:szCs w:val="28"/>
        </w:rPr>
        <w:t>ác cơ quan, tổ chức, cá nhân có yêu cầu giám định tiền giả, tiền nghi giả để xác định tính xác thực của đồng tiền thực hiện lập 01 bộ hồ sơ đề nghị giám định và nộp trực tiếp đến cơ quan giám định của Bộ Công an hoặc Ngân hàng Nhà nước.</w:t>
      </w:r>
      <w:r w:rsidR="00046228">
        <w:rPr>
          <w:rFonts w:ascii="Times New Roman" w:hAnsi="Times New Roman" w:cs="Times New Roman"/>
          <w:sz w:val="28"/>
          <w:szCs w:val="28"/>
          <w:lang w:val="en-US"/>
        </w:rPr>
        <w:t xml:space="preserve"> </w:t>
      </w:r>
      <w:r w:rsidRPr="00AD4F7C">
        <w:rPr>
          <w:rFonts w:ascii="Times New Roman" w:hAnsi="Times New Roman" w:cs="Times New Roman"/>
          <w:sz w:val="28"/>
          <w:szCs w:val="28"/>
        </w:rPr>
        <w:t>Thành phần hồ sơ đề nghị giám định tiền giả bao gồm:</w:t>
      </w:r>
    </w:p>
    <w:p w:rsidR="00AD4F7C" w:rsidRPr="00046228" w:rsidRDefault="00AD4F7C" w:rsidP="00CE0F6C">
      <w:pPr>
        <w:spacing w:before="60" w:after="0"/>
        <w:ind w:firstLine="720"/>
        <w:rPr>
          <w:rFonts w:ascii="Times New Roman" w:hAnsi="Times New Roman" w:cs="Times New Roman"/>
          <w:sz w:val="28"/>
          <w:szCs w:val="28"/>
        </w:rPr>
      </w:pPr>
      <w:r w:rsidRPr="00AD4F7C">
        <w:rPr>
          <w:rFonts w:ascii="Times New Roman" w:hAnsi="Times New Roman" w:cs="Times New Roman"/>
          <w:sz w:val="28"/>
          <w:szCs w:val="28"/>
        </w:rPr>
        <w:t xml:space="preserve">- Giấy đề nghị giám định tiền giả, tiền nghi giả theo Mẫu số 03 tại Phụ lục ban hành kèm theo Nghị </w:t>
      </w:r>
      <w:r w:rsidRPr="00046228">
        <w:rPr>
          <w:rFonts w:ascii="Times New Roman" w:hAnsi="Times New Roman" w:cs="Times New Roman"/>
          <w:sz w:val="28"/>
          <w:szCs w:val="28"/>
        </w:rPr>
        <w:t>định </w:t>
      </w:r>
      <w:hyperlink r:id="rId10" w:tgtFrame="_blank" w:history="1">
        <w:r w:rsidRPr="00046228">
          <w:rPr>
            <w:rStyle w:val="Hyperlink"/>
            <w:rFonts w:ascii="Times New Roman" w:hAnsi="Times New Roman" w:cs="Times New Roman"/>
            <w:color w:val="auto"/>
            <w:sz w:val="28"/>
            <w:szCs w:val="28"/>
            <w:u w:val="none"/>
          </w:rPr>
          <w:t>87/2023/NĐ-CP</w:t>
        </w:r>
      </w:hyperlink>
      <w:r w:rsidRPr="00046228">
        <w:rPr>
          <w:rFonts w:ascii="Times New Roman" w:hAnsi="Times New Roman" w:cs="Times New Roman"/>
          <w:sz w:val="28"/>
          <w:szCs w:val="28"/>
        </w:rPr>
        <w:t> ;</w:t>
      </w:r>
    </w:p>
    <w:p w:rsidR="00AD4F7C" w:rsidRPr="00AD4F7C" w:rsidRDefault="00AD4F7C" w:rsidP="00CE0F6C">
      <w:pPr>
        <w:spacing w:before="60" w:after="0"/>
        <w:ind w:firstLine="720"/>
        <w:rPr>
          <w:rFonts w:ascii="Times New Roman" w:hAnsi="Times New Roman" w:cs="Times New Roman"/>
          <w:sz w:val="28"/>
          <w:szCs w:val="28"/>
        </w:rPr>
      </w:pPr>
      <w:r w:rsidRPr="00AD4F7C">
        <w:rPr>
          <w:rFonts w:ascii="Times New Roman" w:hAnsi="Times New Roman" w:cs="Times New Roman"/>
          <w:sz w:val="28"/>
          <w:szCs w:val="28"/>
        </w:rPr>
        <w:t>- Hiện vật là tiền giả, tiền nghi giả cần giám định.</w:t>
      </w:r>
    </w:p>
    <w:p w:rsidR="003835E1" w:rsidRDefault="00236D08" w:rsidP="003835E1">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3835E1" w:rsidRPr="004611C1">
        <w:rPr>
          <w:rFonts w:ascii="Times New Roman" w:hAnsi="Times New Roman" w:cs="Times New Roman"/>
          <w:b/>
          <w:sz w:val="28"/>
          <w:szCs w:val="28"/>
        </w:rPr>
        <w:t xml:space="preserve">. Thông tư </w:t>
      </w:r>
      <w:r w:rsidR="003835E1">
        <w:rPr>
          <w:rFonts w:ascii="Times New Roman" w:hAnsi="Times New Roman" w:cs="Times New Roman"/>
          <w:b/>
          <w:sz w:val="28"/>
          <w:szCs w:val="28"/>
          <w:lang w:val="en-US"/>
        </w:rPr>
        <w:t xml:space="preserve">số </w:t>
      </w:r>
      <w:r w:rsidR="003835E1" w:rsidRPr="004611C1">
        <w:rPr>
          <w:rFonts w:ascii="Times New Roman" w:hAnsi="Times New Roman" w:cs="Times New Roman"/>
          <w:b/>
          <w:sz w:val="28"/>
          <w:szCs w:val="28"/>
        </w:rPr>
        <w:t xml:space="preserve">27/2023/TT-BGDĐT ngày 28/12/2023 của Bộ Giáo dục và đào tạo quy định việc lựa chọn sách giáo khoa trong cơ sở giáo dục phổ thông, có hiệu lực từ ngày </w:t>
      </w:r>
      <w:r w:rsidR="003835E1">
        <w:rPr>
          <w:rFonts w:ascii="Times New Roman" w:hAnsi="Times New Roman" w:cs="Times New Roman"/>
          <w:b/>
          <w:sz w:val="28"/>
          <w:szCs w:val="28"/>
          <w:lang w:val="en-US"/>
        </w:rPr>
        <w:t>12/02/2024</w:t>
      </w:r>
    </w:p>
    <w:p w:rsidR="003835E1" w:rsidRPr="00725F00" w:rsidRDefault="003835E1" w:rsidP="003835E1">
      <w:pPr>
        <w:spacing w:before="60" w:after="0"/>
        <w:ind w:firstLine="720"/>
        <w:jc w:val="both"/>
        <w:rPr>
          <w:rFonts w:ascii="Times New Roman" w:hAnsi="Times New Roman" w:cs="Times New Roman"/>
          <w:sz w:val="28"/>
          <w:szCs w:val="28"/>
          <w:lang w:val="en-US"/>
        </w:rPr>
      </w:pPr>
      <w:r w:rsidRPr="00725F00">
        <w:rPr>
          <w:rFonts w:ascii="Times New Roman" w:hAnsi="Times New Roman" w:cs="Times New Roman"/>
          <w:sz w:val="28"/>
          <w:szCs w:val="28"/>
          <w:lang w:val="en-US"/>
        </w:rPr>
        <w:t>Theo đó, Thông tư có một số nội dung đáng chú ý như sau:</w:t>
      </w:r>
    </w:p>
    <w:p w:rsidR="003835E1" w:rsidRPr="00725F00" w:rsidRDefault="003835E1" w:rsidP="003835E1">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725F00">
        <w:rPr>
          <w:rFonts w:ascii="Times New Roman" w:hAnsi="Times New Roman" w:cs="Times New Roman"/>
          <w:sz w:val="28"/>
          <w:szCs w:val="28"/>
        </w:rPr>
        <w:t>  Bộ Giáo dục và Đào tạo cho phép cơ sở giáo dục được lựa chọn sách giáo khoa theo quy định của Thông tư này thay vì tổ chức đề xuất lựa chọn sách giáo khoa như quy định cũ.</w:t>
      </w:r>
    </w:p>
    <w:p w:rsidR="003835E1" w:rsidRPr="00725F00" w:rsidRDefault="003835E1" w:rsidP="003835E1">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725F00">
        <w:rPr>
          <w:rFonts w:ascii="Times New Roman" w:hAnsi="Times New Roman" w:cs="Times New Roman"/>
          <w:sz w:val="28"/>
          <w:szCs w:val="28"/>
        </w:rPr>
        <w:t> Quy trình lựa chọn sách giáo khoa trong cơ sở giáo dục bao gồm các bước sau:</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xây dựng kế hoạch tổ chức lựa chọn sách giáo khoa của cơ sở giáo dục; phân công nhiệm vụ cho các thành viên Hội đồng.</w:t>
      </w:r>
      <w:r>
        <w:rPr>
          <w:rFonts w:ascii="Times New Roman" w:hAnsi="Times New Roman" w:cs="Times New Roman"/>
          <w:sz w:val="28"/>
          <w:szCs w:val="28"/>
          <w:lang w:val="en-US"/>
        </w:rPr>
        <w:t xml:space="preserve"> </w:t>
      </w:r>
      <w:r w:rsidRPr="00725F00">
        <w:rPr>
          <w:rFonts w:ascii="Times New Roman" w:hAnsi="Times New Roman" w:cs="Times New Roman"/>
          <w:sz w:val="28"/>
          <w:szCs w:val="28"/>
        </w:rPr>
        <w:t>Tổ chức lựa chọn sách giáo khoa tại tổ chuyên môn:</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Căn cứ vào kế hoạch của Hội đồng và tiêu chí lựa chọn sách giáo khoa, tổ trưởng tổ chuyên môn xây dựng kế hoạch tổ chức lựa chọn sách giáo khoa cho từng môn học được cơ cấu trong tổ chuyên môn, báo cáo người đứng đầu trước khi thực hiện;</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Tổ chức cho toàn bộ giáo viên môn học của cơ sở giáo dục (bao gồm giáo viên biên chế, hợp đồng, biệt phái, thỉnh giảng, dạy liên trường) tham gia lựa chọn sách giáo khoa của môn học đó;</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 Chậm nhất 20 ngày trước phiên họp đầu tiên của tổ chuyên môn, tổ trưởng tổ chuyên môn tổ chức cho giáo viên môn học nghiên cứu các sách giáo khoa của môn học, viết phiếu nhận xét, đánh giá các sách giáo khoa môn học theo các tiêu chí lựa chọn sách giáo khoa;…</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họp, thảo luận, đánh giá việc tổ chức lựa chọn sách giáo khoa của các tổ chuyên môn; thẩm định biên bản họp của tổ chuyên môn; các phiếu nhận xét, đánh giá sách giáo khoa của giáo viên; tổng hợp kết quả lựa chọn sách giáo khoa của các tổ chuyên môn thành biên bản có chữ ký của Chủ tịch và Thư kí Hội đồng.</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Hội đồng đề xuất với người đứng đầu danh mục sách giáo khoa đã được các tổ chuyên môn lựa chọn đúng theo quy định tại Thông tư này.</w:t>
      </w:r>
    </w:p>
    <w:p w:rsidR="003835E1" w:rsidRPr="00725F00" w:rsidRDefault="003835E1" w:rsidP="003835E1">
      <w:pPr>
        <w:spacing w:before="60" w:after="0"/>
        <w:ind w:firstLine="720"/>
        <w:jc w:val="both"/>
        <w:rPr>
          <w:rFonts w:ascii="Times New Roman" w:hAnsi="Times New Roman" w:cs="Times New Roman"/>
          <w:sz w:val="28"/>
          <w:szCs w:val="28"/>
        </w:rPr>
      </w:pPr>
      <w:r w:rsidRPr="00725F00">
        <w:rPr>
          <w:rFonts w:ascii="Times New Roman" w:hAnsi="Times New Roman" w:cs="Times New Roman"/>
          <w:sz w:val="28"/>
          <w:szCs w:val="28"/>
        </w:rPr>
        <w:t>Cơ sở giáo dục lập hồ sơ lựa chọn sách giáo khoa gửi về Phòng Giáo dục và Đào tạo (đối với cấp tiểu học và cấp trung học cơ sở), Sở Giáo dục và Đào tạo (đối với cấp trung học phổ thông).</w:t>
      </w:r>
    </w:p>
    <w:p w:rsidR="003835E1" w:rsidRPr="00725F00" w:rsidRDefault="00236D08" w:rsidP="003835E1">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003835E1" w:rsidRPr="00725F00">
        <w:rPr>
          <w:rFonts w:ascii="Times New Roman" w:hAnsi="Times New Roman" w:cs="Times New Roman"/>
          <w:b/>
          <w:sz w:val="28"/>
          <w:szCs w:val="28"/>
        </w:rPr>
        <w:t xml:space="preserve">. Thông tư </w:t>
      </w:r>
      <w:r w:rsidR="003835E1">
        <w:rPr>
          <w:rFonts w:ascii="Times New Roman" w:hAnsi="Times New Roman" w:cs="Times New Roman"/>
          <w:b/>
          <w:sz w:val="28"/>
          <w:szCs w:val="28"/>
          <w:lang w:val="en-US"/>
        </w:rPr>
        <w:t xml:space="preserve">số </w:t>
      </w:r>
      <w:r w:rsidR="003835E1" w:rsidRPr="00725F00">
        <w:rPr>
          <w:rFonts w:ascii="Times New Roman" w:hAnsi="Times New Roman" w:cs="Times New Roman"/>
          <w:b/>
          <w:sz w:val="28"/>
          <w:szCs w:val="28"/>
        </w:rPr>
        <w:t xml:space="preserve">31/2023/TT-BGDĐT </w:t>
      </w:r>
      <w:r w:rsidR="003835E1">
        <w:rPr>
          <w:rFonts w:ascii="Times New Roman" w:hAnsi="Times New Roman" w:cs="Times New Roman"/>
          <w:b/>
          <w:sz w:val="28"/>
          <w:szCs w:val="28"/>
          <w:lang w:val="en-US"/>
        </w:rPr>
        <w:t xml:space="preserve">ngày 29/12/2023 </w:t>
      </w:r>
      <w:r w:rsidR="003835E1" w:rsidRPr="00725F00">
        <w:rPr>
          <w:rFonts w:ascii="Times New Roman" w:hAnsi="Times New Roman" w:cs="Times New Roman"/>
          <w:b/>
          <w:sz w:val="28"/>
          <w:szCs w:val="28"/>
        </w:rPr>
        <w:t>của Bộ Giáo dục và Đào tạo ban hành Quy chế xét công nhận tốt nghiệp trung học cơ sở</w:t>
      </w:r>
      <w:r w:rsidR="003835E1">
        <w:rPr>
          <w:rFonts w:ascii="Times New Roman" w:hAnsi="Times New Roman" w:cs="Times New Roman"/>
          <w:b/>
          <w:sz w:val="28"/>
          <w:szCs w:val="28"/>
          <w:lang w:val="en-US"/>
        </w:rPr>
        <w:t>, có hiệu lực từ ngày 15/02/2024</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Điều kiện xét tốt nghiệp Trung học Cơ sở có nhiều điểm mới như: Học sinh Trung học Cơ sở nghỉ quá 45 buổi vẫn được tốt nghiệp. Trước đây, để tốt nghiệp Trung học Cơ sở, học sinh không được nghỉ học quá 45 buổi học ở năm học lớp 9 (nghỉ một lần/nhiều lần cộng lại).</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Bỏ xếp loại tốt nghiệp Trung học Cơ sở. Trước đây, kết quả tốt nghiệp của học sinh được xếp loại giỏi, khá, trung bình căn cứ vào hạnh kiểm và học lực.</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Tổ chức xét tốt nghiệp Trung học Cơ sở 2 lần/năm. Theo Điều 3 Thông tư 31, các cơ sở giáo dục thực hiện Chương trình giáo dục phổ thông cấp Trung học Cơ sở được tổ chức xét công nhận tốt nghiệp nhiều nhất 2 lần trong năm có học sinh học hết lớp 9.</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Lần xét công nhận tốt nghiệp thứ nhất được thực hiện ngay sau khi kết thúc năm học. Lần xét công nhận tốt nghiệp thứ hai (nếu có) được thực hiện trước khai giảng năm học mới.</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Trong khi trước đây, các cơ sở giáo dục thực hiện Chương trình giáo dục phổ thông cấp Trung học Cơ sở chỉ được xét tốt nghiệp 1 lần trong năm.</w:t>
      </w:r>
    </w:p>
    <w:p w:rsidR="003835E1" w:rsidRPr="00000052" w:rsidRDefault="003835E1" w:rsidP="003835E1">
      <w:pPr>
        <w:pStyle w:val="NormalWeb"/>
        <w:shd w:val="clear" w:color="auto" w:fill="FFFFFF"/>
        <w:spacing w:before="60" w:beforeAutospacing="0" w:after="0" w:afterAutospacing="0" w:line="276" w:lineRule="auto"/>
        <w:ind w:firstLine="720"/>
        <w:jc w:val="both"/>
        <w:rPr>
          <w:sz w:val="28"/>
          <w:szCs w:val="28"/>
        </w:rPr>
      </w:pPr>
      <w:r w:rsidRPr="00000052">
        <w:rPr>
          <w:sz w:val="28"/>
          <w:szCs w:val="28"/>
        </w:rPr>
        <w:t>Quy chế này được áp dụng từ năm học 2024-2025.</w:t>
      </w:r>
    </w:p>
    <w:p w:rsidR="003C62CB" w:rsidRPr="003C62CB" w:rsidRDefault="00236D08" w:rsidP="003C62CB">
      <w:pPr>
        <w:pStyle w:val="Heading1"/>
        <w:shd w:val="clear" w:color="auto" w:fill="FFFFFF"/>
        <w:spacing w:before="0"/>
        <w:ind w:firstLine="709"/>
        <w:jc w:val="both"/>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lang w:val="en-US"/>
        </w:rPr>
        <w:t>5</w:t>
      </w:r>
      <w:r w:rsidR="001D089B" w:rsidRPr="003C62CB">
        <w:rPr>
          <w:rFonts w:ascii="Times New Roman" w:eastAsiaTheme="minorHAnsi" w:hAnsi="Times New Roman" w:cs="Times New Roman"/>
          <w:b/>
          <w:color w:val="auto"/>
          <w:sz w:val="28"/>
          <w:szCs w:val="28"/>
        </w:rPr>
        <w:t xml:space="preserve">. </w:t>
      </w:r>
      <w:r w:rsidR="003C62CB" w:rsidRPr="003C62CB">
        <w:rPr>
          <w:rFonts w:ascii="Times New Roman" w:eastAsiaTheme="minorHAnsi" w:hAnsi="Times New Roman" w:cs="Times New Roman"/>
          <w:b/>
          <w:color w:val="auto"/>
          <w:sz w:val="28"/>
          <w:szCs w:val="28"/>
        </w:rPr>
        <w:t>Thông tư 28/2023/TT-BGDĐT của Bộ Giáo dục và Đào tạo về Quy chế đào tạo từ xa trình độ đại học</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Quy chế đào tạo từ xa trình độ đại học mới được quy định tại Thông tư 28/2023/TT-BGDĐT của Bộ Giáo dục và Đào tạo chính thức có hiệu lực từ ngày 12/2/2024.</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Theo Điều 5 Quy chế ban hành kèm theo Thông tư 28, cơ sở đào tạo thực hiện chương trình đào tạo từ xa đối với những ngành đã có quyết định mở ngành đào tạo và đã tuyển sinh tối thiểu 3 khóa liên tục theo hình thức chính quy.</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Đồng thời, không được đào tạo từ xa đối với các ngành thuộc lĩnh vực sức khỏe có cấp chứng chỉ hành nghề và nhóm ngành đào tạo giáo viên.</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Bên cạnh đó, Điều 3 Quy chế này quy định về chương trình đào tạo từ xa và thời gian học tập như sau:</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 Chương trình đào tạo từ xa có kế hoạch học tập chuẩn toàn khóa theo các tiến độ học tập khác nhau để định hướng cho người học, tổng thời gian theo kế hoạch học tập chuẩn toàn khóa không ngắn hơn so với hình thức đào tạo chính quy.</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 Đối với người học liên thông đã được miễn trừ khối lượng tín chỉ tích lũy, thời gian tối đa để người học hoàn thành khóa học được xác định trên cơ sở thời gian theo kế hoạch học tập chuẩn toàn khóa giảm tương ứng với khối lượng được miễn trừ.</w:t>
      </w:r>
    </w:p>
    <w:p w:rsidR="006B2B5E" w:rsidRPr="006B2B5E" w:rsidRDefault="006B2B5E" w:rsidP="006B2B5E">
      <w:pPr>
        <w:spacing w:before="60" w:after="0"/>
        <w:ind w:firstLine="720"/>
        <w:jc w:val="both"/>
        <w:rPr>
          <w:rFonts w:ascii="Times New Roman" w:hAnsi="Times New Roman" w:cs="Times New Roman"/>
          <w:sz w:val="28"/>
          <w:szCs w:val="28"/>
        </w:rPr>
      </w:pPr>
      <w:r w:rsidRPr="006B2B5E">
        <w:rPr>
          <w:rFonts w:ascii="Times New Roman" w:hAnsi="Times New Roman" w:cs="Times New Roman"/>
          <w:sz w:val="28"/>
          <w:szCs w:val="28"/>
        </w:rPr>
        <w:t>- Chương trình đào tạo từ xa phải được công khai với người học trước khi tuyển sinh và khi bắt đầu khóa học; những thay đổi, điều chỉnh liên quan đến chương trình đào tạo được thực hiện theo quy định hiện hành và công bố trước khi áp dụng, không gây tác động bất lợi cho người học.</w:t>
      </w:r>
    </w:p>
    <w:p w:rsidR="00151D60" w:rsidRPr="00486F40"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6. </w:t>
      </w:r>
      <w:r w:rsidR="00180435" w:rsidRPr="00180435">
        <w:rPr>
          <w:rFonts w:ascii="Times New Roman" w:hAnsi="Times New Roman" w:cs="Times New Roman"/>
          <w:b/>
          <w:sz w:val="28"/>
          <w:szCs w:val="28"/>
        </w:rPr>
        <w:t>Thông tư số 15/2023/TT-BLĐTBXH ngày 29/12/2023 của Bộ Lao động Thương binh và Xã hội sửa đổi, bổ sung một số điều của Thông tư 28/2015/TT-BLĐTBXH ngày 31/7/2015 hướng dẫn thực hiện Điều 52 Luật Việc làm và một số điều của Nghị định 28/2015/NĐ-CP ngày 12/3/2015 của Chính phủ quy định chi tiết thi hành một số điều của Luật Việc làm về bảo hiểm thất nghiệp, có hiệu lực kể từ</w:t>
      </w:r>
      <w:r w:rsidR="00486F40">
        <w:rPr>
          <w:rFonts w:ascii="Times New Roman" w:hAnsi="Times New Roman" w:cs="Times New Roman"/>
          <w:b/>
          <w:sz w:val="28"/>
          <w:szCs w:val="28"/>
        </w:rPr>
        <w:t xml:space="preserve"> ngày 15/02/2024</w:t>
      </w:r>
    </w:p>
    <w:p w:rsidR="00805A18" w:rsidRPr="00805A18" w:rsidRDefault="00805A18"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Thông tư b</w:t>
      </w:r>
      <w:r w:rsidRPr="00805A18">
        <w:rPr>
          <w:rFonts w:ascii="Times New Roman" w:hAnsi="Times New Roman" w:cs="Times New Roman"/>
          <w:sz w:val="28"/>
          <w:szCs w:val="28"/>
        </w:rPr>
        <w:t>ổ sung quy định về đóng bảo hiểm thất nghiệp như sau:</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Người lao động tại đơn vị sử dụng lao động không có người đại diện theo pháp luật hoặc người được người đại diện theo pháp luật ủy quyền có nhu cầu chấm dứt hợp đồng lao động để hưởng các chế độ bảo hiểm thất nghiệp thì người lao động đề nghị Sở Lao động - Thương binh và Xã hội hoặc Bảo hiểm xã hội cấp tỉnh thực hiện theo quy trình tại điểm h khoản 2 Điều 16 Nghị định số 28/2015/NĐ-CP đã được bổ sung tại khoản 6 Điều 1 Nghị định số 61/2020/NĐ-CP;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Cơ quan bảo hiểm xã hội có trách nhiệm thực hiện xác nhận mức đóng, thời gian đóng, thời gian gián đoạn và lý do gián đoạn đóng bảo hiểm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Tháng hưởng trợ cấp thất nghiệp được tính theo tháng dương lịch. Mỗi tháng hưởng trợ cấp thất nghiệp được tính từ ngày người lao động bắt đầu hưởng trợ cấp thất nghiệp theo quy định tại khoản 3 Điều 50 Luật Việc làm đến ngày đó của tháng sau trừ 01 ngày, trường hợp tháng sau không có ngày tương ứng thì ngày kết thúc của tháng hưởng trợ cấp thất nghiệp là ngày cuối cùng của tháng đó.</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05 trường hợp bảo lưu thời gian đóng bảo hiểm thất nghiệp như sau:</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có tháng đóng chưa được giải quyết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bị hủy quyết định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đang hưởng trợ cấp thất nghiệp bị chấm dứt hưởng trợ cấp thất nghiệp;</w:t>
      </w:r>
    </w:p>
    <w:p w:rsidR="00805A18" w:rsidRPr="00805A18" w:rsidRDefault="00805A18" w:rsidP="00CE0F6C">
      <w:pPr>
        <w:spacing w:before="60" w:after="0"/>
        <w:ind w:firstLine="720"/>
        <w:jc w:val="both"/>
        <w:rPr>
          <w:rFonts w:ascii="Times New Roman" w:hAnsi="Times New Roman" w:cs="Times New Roman"/>
          <w:sz w:val="28"/>
          <w:szCs w:val="28"/>
        </w:rPr>
      </w:pPr>
      <w:r w:rsidRPr="00805A18">
        <w:rPr>
          <w:rFonts w:ascii="Times New Roman" w:hAnsi="Times New Roman" w:cs="Times New Roman"/>
          <w:sz w:val="28"/>
          <w:szCs w:val="28"/>
        </w:rPr>
        <w:t>- Bảo lưu thời gian đóng bảo hiểm thất nghiệp khi người lao động không đến nhận tiền trợ cấp thất nghiệp;</w:t>
      </w:r>
    </w:p>
    <w:p w:rsidR="00805A18" w:rsidRPr="003835E1" w:rsidRDefault="00805A18" w:rsidP="00CE0F6C">
      <w:pPr>
        <w:spacing w:before="60" w:after="0"/>
        <w:ind w:firstLine="720"/>
        <w:jc w:val="both"/>
        <w:rPr>
          <w:rFonts w:ascii="Times New Roman" w:hAnsi="Times New Roman" w:cs="Times New Roman"/>
          <w:sz w:val="28"/>
          <w:szCs w:val="28"/>
          <w:lang w:val="en-US"/>
        </w:rPr>
      </w:pPr>
      <w:r w:rsidRPr="00805A18">
        <w:rPr>
          <w:rFonts w:ascii="Times New Roman" w:hAnsi="Times New Roman" w:cs="Times New Roman"/>
          <w:sz w:val="28"/>
          <w:szCs w:val="28"/>
        </w:rPr>
        <w:t>- Bảo lưu thời gian đóng bảo hiểm thất nghiệp đối với trường hợp người lao động được cơ quan bảo hiểm xã hội xác nhận bổ sung thời gian đóng bảo hiểm thất nghiệp sau khi chấm dứt hưởng trợ cấp thất nghiệp</w:t>
      </w:r>
      <w:r w:rsidR="003835E1">
        <w:rPr>
          <w:rFonts w:ascii="Times New Roman" w:hAnsi="Times New Roman" w:cs="Times New Roman"/>
          <w:sz w:val="28"/>
          <w:szCs w:val="28"/>
          <w:lang w:val="en-US"/>
        </w:rPr>
        <w:t>.</w:t>
      </w:r>
    </w:p>
    <w:p w:rsidR="0054451F" w:rsidRDefault="00236D08" w:rsidP="00CE0F6C">
      <w:pPr>
        <w:spacing w:before="60" w:after="0"/>
        <w:ind w:firstLine="720"/>
        <w:jc w:val="both"/>
        <w:rPr>
          <w:rFonts w:ascii="Times New Roman" w:hAnsi="Times New Roman" w:cs="Times New Roman"/>
          <w:b/>
          <w:sz w:val="28"/>
          <w:szCs w:val="28"/>
        </w:rPr>
      </w:pPr>
      <w:r>
        <w:rPr>
          <w:rFonts w:ascii="Times New Roman" w:hAnsi="Times New Roman" w:cs="Times New Roman"/>
          <w:b/>
          <w:sz w:val="28"/>
          <w:szCs w:val="28"/>
          <w:lang w:val="en-US"/>
        </w:rPr>
        <w:t xml:space="preserve">7. </w:t>
      </w:r>
      <w:r w:rsidR="0054451F" w:rsidRPr="0054451F">
        <w:rPr>
          <w:rFonts w:ascii="Times New Roman" w:hAnsi="Times New Roman" w:cs="Times New Roman"/>
          <w:b/>
          <w:sz w:val="28"/>
          <w:szCs w:val="28"/>
        </w:rPr>
        <w:t>Thông tư 14/2023/TT-BXD ngày 29/12/2023 sửa đổi, bổ sung một số điều của Thông tư số 11/2021/TT-BXD ngày 31/8/2021 hướng dẫn một số nội dung xác định và quản lý chi phí đầu tư xây dựng</w:t>
      </w:r>
    </w:p>
    <w:p w:rsidR="0054451F" w:rsidRPr="0054451F" w:rsidRDefault="0054451F" w:rsidP="0054451F">
      <w:pPr>
        <w:spacing w:before="60" w:after="0"/>
        <w:ind w:firstLine="720"/>
        <w:jc w:val="both"/>
        <w:rPr>
          <w:rFonts w:ascii="Times New Roman" w:hAnsi="Times New Roman" w:cs="Times New Roman"/>
          <w:sz w:val="28"/>
          <w:szCs w:val="28"/>
        </w:rPr>
      </w:pPr>
      <w:r w:rsidRPr="00F847F7">
        <w:rPr>
          <w:rFonts w:ascii="Times New Roman" w:hAnsi="Times New Roman" w:cs="Times New Roman"/>
          <w:sz w:val="28"/>
          <w:szCs w:val="28"/>
        </w:rPr>
        <w:t xml:space="preserve">Bộ </w:t>
      </w:r>
      <w:r w:rsidRPr="0054451F">
        <w:rPr>
          <w:rFonts w:ascii="Times New Roman" w:hAnsi="Times New Roman" w:cs="Times New Roman"/>
          <w:sz w:val="28"/>
          <w:szCs w:val="28"/>
        </w:rPr>
        <w:t>Xây dựng đã ban hành Thông tư 14/2023/TT-BXD ngày 29/12/2023 sửa đổi, bổ sung một số điều của Thông tư số 11/2021/TT-BXD ngày 31/8/2021 hướng dẫn một số nội dung xác định và quản lý chi phí đầu tư xây dựng.</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Trong đó, Thông tư 14/2023/TT-BXD sửa đổi, bổ sung Điều 9 về xác định giá xây dựng công trình.</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Theo đó, giá xây dựng công trình gồm đơn giá xây dựng chi tiết và giá xây dựng tổng hợp. Giá xây dựng công trình xác định theo quy định tại khoản 2, khoản 3 Điều 24 Nghị định số 10/2021/NĐ-CP và hướng dẫn chi tiết tại Phụ lục IV Thông tư này.</w:t>
      </w:r>
    </w:p>
    <w:p w:rsidR="0054451F" w:rsidRP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Chủ đầu tư sử dụng hệ thống giá xây dựng công trình quy định tại khoản 1, 2 Điều 26 Nghị định số 10/2021/NĐ-CP và quy định tại khoản 1, 2 Điều 8 Thông tư này làm cơ sở để xác định và quản lý chi phí đầu tư xây dựng.</w:t>
      </w:r>
    </w:p>
    <w:p w:rsidR="0054451F" w:rsidRDefault="0054451F" w:rsidP="0054451F">
      <w:pPr>
        <w:spacing w:before="60" w:after="0"/>
        <w:ind w:firstLine="720"/>
        <w:jc w:val="both"/>
        <w:rPr>
          <w:rFonts w:ascii="Times New Roman" w:hAnsi="Times New Roman" w:cs="Times New Roman"/>
          <w:sz w:val="28"/>
          <w:szCs w:val="28"/>
        </w:rPr>
      </w:pPr>
      <w:r w:rsidRPr="0054451F">
        <w:rPr>
          <w:rFonts w:ascii="Times New Roman" w:hAnsi="Times New Roman" w:cs="Times New Roman"/>
          <w:sz w:val="28"/>
          <w:szCs w:val="28"/>
        </w:rPr>
        <w:t>Thông tư có hiệu lực thi hành từ 15/2/2024.</w:t>
      </w:r>
    </w:p>
    <w:p w:rsidR="00E57456" w:rsidRPr="00E57456" w:rsidRDefault="00236D08" w:rsidP="0054451F">
      <w:pPr>
        <w:spacing w:before="60" w:after="0"/>
        <w:ind w:firstLine="720"/>
        <w:jc w:val="both"/>
        <w:rPr>
          <w:rStyle w:val="Hyperlink"/>
          <w:b/>
          <w:color w:val="auto"/>
          <w:u w:val="none"/>
        </w:rPr>
      </w:pPr>
      <w:r>
        <w:rPr>
          <w:rStyle w:val="Hyperlink"/>
          <w:rFonts w:ascii="Times New Roman" w:hAnsi="Times New Roman" w:cs="Times New Roman"/>
          <w:b/>
          <w:color w:val="auto"/>
          <w:sz w:val="28"/>
          <w:szCs w:val="28"/>
          <w:u w:val="none"/>
          <w:lang w:val="en-US"/>
        </w:rPr>
        <w:t xml:space="preserve">8. </w:t>
      </w:r>
      <w:r w:rsidR="00E57456" w:rsidRPr="00E57456">
        <w:rPr>
          <w:rStyle w:val="Hyperlink"/>
          <w:rFonts w:ascii="Times New Roman" w:hAnsi="Times New Roman" w:cs="Times New Roman"/>
          <w:b/>
          <w:color w:val="auto"/>
          <w:sz w:val="28"/>
          <w:szCs w:val="28"/>
          <w:u w:val="none"/>
        </w:rPr>
        <w:t>Thông tư số 76/2023/TT-BTC ngày 29/12/2023 quy định về tổ chức thực hiện dự toán ngân sách nhà nước năm 2024</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Bộ Tài chính đã ban hành Thông tư số 76/2023/TT-BTC ngày 29/12/2023 quy định về tổ chức thực hiện dự toán ngân sách nhà nước năm 2024.</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Theo Thông tư, việc phân cấp nguồn thu, nhiệm vụ chi giữa ngân sách trung ương và ngân sách địa phương được thực hiện theo quy định của Luật Ngân sách nhà nước và các văn bản hướng dẫn thi hành Luật Ngân sách nhà nước.</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Tiếp tục thực hiện điều tiết ngân sách trung ương hưởng 100% đối với số thu từ hoạt động kinh doanh thương mại điện tử, kinh doanh dựa trên nền tảng số, dịch vụ xuyên biên giới và các dịch vụ khác do nhà cung cấp nước ngoài thực hiện đăng ký thuế, khai thuế, nộp thuế trực tiếp tại Cổng thông tin điện tử của Tổng cục Thuế.</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Thực hiện phân chia nguồn thu tiền cấp quyền khai thác tài nguyên nước, phân chia thuế bảo vệ môi trường đối với sản phẩm xăng, dầu giữa ngân sách trung ương và ngân sách địa phương theo quy định tại điểm a khoản 3 Điều 3 Quyết định số 1600/QĐ-TTg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Nguồn thu phí sử dụng đường bộ thu qua đầu phương tiện ô tô (sau khi trừ chi phí tổ chức thu) nộp ngân sách trung ương 100% và thực hiện phân chia 65% số thu cho ngân sách trung ương và bố trí dự toán ngân sách trung ương bổ sung có mục tiêu cho ngân sách địa phương tương ứng 35% số thu để thực hiện công tác quản lý, bảo trì đường bộ.</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Nguồn thu tiền sử dụng đất theo quy định của pháp luật về đất đai, thu từ cổ phần hóa, thoái vốn nhà nước tại các doanh nghiệp nhà nước do địa phương quản lý được sử dụng cho chi đầu tư phát triển thuộc đối tượng đầu tư của ngân sách địa phương.</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Nguồn thu từ hoạt động xổ số kiến thiết trong dự toán ngân sách địa phương được sử dụng theo quy định tại điểm b khoản 3 Điều 3 Quyết định số 1600/QĐ-TTg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Thông tư nêu rõ, năm 2024 thực hiện ổn định tỷ lệ phần trăm (%) phân chia các khoản thu giữa ngân sách trung ương và ngân sách địa phương; đối với số bổ sung cân đối ngân sách (nếu có), ngân sách trung ương bổ sung tăng thêm 2% so với mức bổ sung cân đối ngân sách năm 2023 đã được Quốc hội quyết định; bổ sung cho ngân sách địa phương để thực hiện tiền lương cơ sở 1,8 triệu đồng/tháng tại Quyết định số 1600/QĐ-TTg, số 1602/QĐ-TTG ngày 10/12/2023 của Thủ tướng Chính phủ.</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Việc phân cấp nguồn thu, nhiệm vụ chi giữa ngân sách các cấp chính quyền địa phương, tỷ lệ phần trăm (%) phân chia nguồn thu giữa các cấp ngân sách địa phương thực hiện theo đúng nghị quyết của Hội đồng nhân dân cấp tỉnh đã quyết định đối với năm ngân sách trong thời kỳ ổn định. Đối với năm 2024, căn cứ khả năng cân đối của ngân sách cấp trên, Ủy ban nhân dân cấp tỉnh trình Hội đồng nhân dân cùng cấp quyết định tăng thêm số bổ sung cân đối ngân sách cho ngân sách cấp dưới so với năm 2023. Trường hợp đặc biệt có phát sinh nguồn thu từ dự án mới đi vào hoạt động làm ngân sách địa phương tăng thu lớn, Ủy ban nhân dân cấp tỉnh trình Hội đồng nhân dân cùng cấp quyết định theo quy định tại khoản 7 Điều 9 Luật Ngân sách nhà nước.</w:t>
      </w:r>
    </w:p>
    <w:p w:rsidR="00E57456" w:rsidRP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Đồng thời, ngân sách cấp tỉnh bổ sung cân đối ngân sách cho ngân sách cấp dưới để thực hiện cải cách tiền lương theo nghị quyết của Hội đồng nhân dân cấp tỉnh và quyết định của Ủy ban nhân dân cùng cấp.</w:t>
      </w:r>
    </w:p>
    <w:p w:rsidR="00E57456" w:rsidRDefault="00E57456" w:rsidP="00E57456">
      <w:pPr>
        <w:spacing w:before="60" w:after="0"/>
        <w:ind w:firstLine="720"/>
        <w:jc w:val="both"/>
        <w:rPr>
          <w:rFonts w:ascii="Times New Roman" w:hAnsi="Times New Roman" w:cs="Times New Roman"/>
          <w:sz w:val="28"/>
          <w:szCs w:val="28"/>
        </w:rPr>
      </w:pPr>
      <w:r w:rsidRPr="00E57456">
        <w:rPr>
          <w:rFonts w:ascii="Times New Roman" w:hAnsi="Times New Roman" w:cs="Times New Roman"/>
          <w:sz w:val="28"/>
          <w:szCs w:val="28"/>
        </w:rPr>
        <w:t>Thông tư này có hiệu lực kể từ ngày 12/2/2024 và áp dụng đối với năm ngân sách 2024.</w:t>
      </w:r>
    </w:p>
    <w:p w:rsidR="00D818AE" w:rsidRPr="00D818AE" w:rsidRDefault="00236D08" w:rsidP="00E57456">
      <w:pPr>
        <w:spacing w:before="60" w:after="0"/>
        <w:ind w:firstLine="720"/>
        <w:jc w:val="both"/>
        <w:rPr>
          <w:rStyle w:val="Hyperlink"/>
          <w:b/>
          <w:color w:val="auto"/>
          <w:u w:val="none"/>
        </w:rPr>
      </w:pPr>
      <w:r>
        <w:rPr>
          <w:rStyle w:val="Hyperlink"/>
          <w:rFonts w:ascii="Times New Roman" w:hAnsi="Times New Roman" w:cs="Times New Roman"/>
          <w:b/>
          <w:color w:val="auto"/>
          <w:sz w:val="28"/>
          <w:szCs w:val="28"/>
          <w:u w:val="none"/>
          <w:lang w:val="en-US"/>
        </w:rPr>
        <w:t xml:space="preserve">9. </w:t>
      </w:r>
      <w:r w:rsidR="00D818AE" w:rsidRPr="00D818AE">
        <w:rPr>
          <w:rStyle w:val="Hyperlink"/>
          <w:rFonts w:ascii="Times New Roman" w:hAnsi="Times New Roman" w:cs="Times New Roman"/>
          <w:b/>
          <w:color w:val="auto"/>
          <w:sz w:val="28"/>
          <w:szCs w:val="28"/>
          <w:u w:val="none"/>
        </w:rPr>
        <w:t>Thông tư 43/2023/TT-BCT ngày 28/12/2023 sửa đổi, bổ sung một số điều của Thông tư số 57/2018/TT-BCT quy định một số điều của các Nghị định liên quan đến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Bộ Công Thương đã ban hành Thông tư 43/2023/TT-BCT ngày 28/12/2023 sửa đổi, bổ sung một số điều của Thông tư số 57/2018/TT-BCT quy định một số điều của các Nghị định liên quan đến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Thông tư 43/2023/TT-BCT sửa đổi khoản 1, khoản 9 Điều 13 về biểu mẫu, chế độ báo cáo đối với doanh nghiệp kinh doanh thuốc lá:</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Định kỳ 06 tháng, doanh nghiệp sản xuất sản phẩm thuốc lá, nhập khẩu thuốc lá phải gửi báo cáo về Bộ Công Thương về hoạt động sản xuất sản phẩm thuốc lá và nhập khẩu sản phẩm thuốc lá (trước ngày 10 tháng 01 hàng năm đối với báo cáo cả năm và trước ngày 10 tháng 7 hàng năm đối với báo cáo 6 tháng đầu năm).</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Định kỳ 06 tháng Nhà cung cấp sản phẩm thuốc lá phải gửi báo cáo thống kê sản lượng, loại sản phẩm thuốc lá kinh doanh (theo hệ thống phân phối, bán buôn, bán lẻ) của đơn vị mình về Vụ Thị trường trong nước - Bộ Công Thương và Sở Công Thương nơi doanh nghiệp đặt trụ sở chính (trước ngày 10 tháng 01 hàng năm đối với báo cáo cả năm và trước ngày 10 tháng 7 hàng năm đối với báo cáo 6 tháng đầu năm).</w:t>
      </w:r>
    </w:p>
    <w:p w:rsidR="00D818AE" w:rsidRPr="00D818AE" w:rsidRDefault="00D818AE" w:rsidP="00D818AE">
      <w:pPr>
        <w:spacing w:before="60" w:after="0"/>
        <w:ind w:firstLine="720"/>
        <w:jc w:val="both"/>
        <w:rPr>
          <w:rFonts w:ascii="Times New Roman" w:hAnsi="Times New Roman" w:cs="Times New Roman"/>
          <w:sz w:val="28"/>
          <w:szCs w:val="28"/>
        </w:rPr>
      </w:pPr>
      <w:r w:rsidRPr="00D818AE">
        <w:rPr>
          <w:rFonts w:ascii="Times New Roman" w:hAnsi="Times New Roman" w:cs="Times New Roman"/>
          <w:sz w:val="28"/>
          <w:szCs w:val="28"/>
        </w:rPr>
        <w:t>Thông tư này có hiệu lực thi hành từ 12/2/2024.</w:t>
      </w:r>
    </w:p>
    <w:p w:rsidR="0054451F" w:rsidRDefault="00236D08" w:rsidP="00CE0F6C">
      <w:pPr>
        <w:spacing w:before="60" w:after="0"/>
        <w:ind w:firstLine="720"/>
        <w:jc w:val="both"/>
        <w:rPr>
          <w:rStyle w:val="Hyperlink"/>
          <w:rFonts w:ascii="Times New Roman" w:hAnsi="Times New Roman" w:cs="Times New Roman"/>
          <w:b/>
          <w:color w:val="auto"/>
          <w:sz w:val="28"/>
          <w:szCs w:val="28"/>
          <w:u w:val="none"/>
        </w:rPr>
      </w:pPr>
      <w:r>
        <w:rPr>
          <w:rStyle w:val="Hyperlink"/>
          <w:rFonts w:ascii="Times New Roman" w:hAnsi="Times New Roman" w:cs="Times New Roman"/>
          <w:b/>
          <w:color w:val="auto"/>
          <w:sz w:val="28"/>
          <w:szCs w:val="28"/>
          <w:u w:val="none"/>
          <w:lang w:val="en-US"/>
        </w:rPr>
        <w:t xml:space="preserve">10. </w:t>
      </w:r>
      <w:r w:rsidR="00323106" w:rsidRPr="00323106">
        <w:rPr>
          <w:rStyle w:val="Hyperlink"/>
          <w:rFonts w:ascii="Times New Roman" w:hAnsi="Times New Roman" w:cs="Times New Roman"/>
          <w:b/>
          <w:color w:val="auto"/>
          <w:sz w:val="28"/>
          <w:szCs w:val="28"/>
          <w:u w:val="none"/>
        </w:rPr>
        <w:t>Thông tư 45/2023/TT-BCT ngày 29/12/2023 sửa đổi, bổ sung Thông tư số 23/2021/TT-BCT quy định về danh mục chủng loại, tiêu chuẩn chất lượng khoáng sản xuất khẩu do Bộ Công Thương quản lý</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Bộ Công Thương ban hành Thông tư 45/2023/TT-BCT ngày 29/12/2023 sửa đổi, bổ sung Thông tư số 23/2021/TT-BCT quy định về danh mục chủng loại, tiêu chuẩn chất lượng khoáng sản xuất khẩu do Bộ Công Thương quản lý.</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Thông tư sửa đổi, bổ sung Điều 4 về danh mục chủng loại, tiêu chuẩn chất lượng khoáng sản xuất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Theo đó, khoáng sản xuất khẩu là khoáng sản có nguồn gốc hợp pháp, đã qua quá trình chế biến, có tên trong Danh mục chủng loại và đáp ứng tiêu chuẩn chất lượng sau đây:</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Đối với khoáng sản xuất khẩu có nguồn gốc trong nước: Danh mục chủng loại và tiêu chuẩn chất lượng tương ứng tại Phụ lục 1 Thông tư này, gồm: Quặng titan; Quặng tinh bismut; Quặng tinh niken; Tổng các (ôxit, hydroxit, muối) đất hiếm; Quặng fluorit; Bột barit; Đá hoa trắng; Quặng graphit; Bột mica (muscovit mica); Quặng tinh diatomit (bột hóa thạch silic).</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Đối với khoáng sản xuất khẩu có nguồn gốc nhập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Trường hợp gia công hàng hóa (chế biến) cho thương nhân nước ngoài: Chủng loại và tiêu chuẩn chất lượng sản phẩm sau chế biến thực hiện theo hợp đồng gia công đã ký với thương nhân nước ngoài. Hợp đồng gia công tuân thủ theo quy định tại Điều 39 Nghị định số 69/2018/NĐ-CP ngày 15/5/2018 của Chính phủ quy định chi tiết một số Điều của Luật Quản lý ngoại thương.</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Trường hợp khoáng sản đã qua chế biến từ nguồn gốc nhập khẩu ngoài trường hợp nêu trên: Danh mục chủng loại và tiêu chuẩn chất lượng khoáng sản tương ứng tại Phụ lục 2 Thông tư này, gồm các loại quặng titan: Quặng tinh ilmenit, Bột zircon, Quặng tinh zircon, Quặng tinh rutil, Quặng tinh monazit, Quặng đuôi hỗn hợp, Quặng đuôi zircon và Xỉ titan các loại.</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Thương nhân xuất khẩu khoáng sản được lựa chọn tổ chức đánh giá sự phù hợp theo quy định tại Nghị định 107/2016/NĐ-CP ngày 01/7/2016 của Chính phủ quy định về điều kiện kinh doanh dịch vụ đánh giá sự phù hợp và Nghị định 154/2018/NĐ-CP ngày 09/11/2018 của Chính phủ về việc sửa đổi, bổ sung, bãi bỏ một số quy định về điều kiện đầu tư, kinh doanh trong lĩnh vực quản lý nhà nước của Bộ Khoa học và Công nghệ và một số quy định về kiểm tra chuyên ngành để đánh giá về chủng loại, chất lượng khoáng sản xuất khẩu.</w:t>
      </w:r>
    </w:p>
    <w:p w:rsidR="00323106" w:rsidRPr="00323106" w:rsidRDefault="00323106" w:rsidP="00323106">
      <w:pPr>
        <w:spacing w:before="60" w:after="0"/>
        <w:ind w:firstLine="720"/>
        <w:jc w:val="both"/>
        <w:rPr>
          <w:rFonts w:ascii="Times New Roman" w:hAnsi="Times New Roman" w:cs="Times New Roman"/>
          <w:sz w:val="28"/>
          <w:szCs w:val="28"/>
        </w:rPr>
      </w:pPr>
      <w:r w:rsidRPr="00323106">
        <w:rPr>
          <w:rFonts w:ascii="Times New Roman" w:hAnsi="Times New Roman" w:cs="Times New Roman"/>
          <w:sz w:val="28"/>
          <w:szCs w:val="28"/>
        </w:rPr>
        <w:t>Thông tư có hiệu lực thi hành từ 15/2/2024.</w:t>
      </w:r>
    </w:p>
    <w:p w:rsidR="004E2FA6" w:rsidRPr="00443778"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11. </w:t>
      </w:r>
      <w:r w:rsidR="004E2FA6" w:rsidRPr="004E2FA6">
        <w:rPr>
          <w:rFonts w:ascii="Times New Roman" w:hAnsi="Times New Roman" w:cs="Times New Roman"/>
          <w:b/>
          <w:sz w:val="28"/>
          <w:szCs w:val="28"/>
        </w:rPr>
        <w:t>Thông tư </w:t>
      </w:r>
      <w:r w:rsidR="004E2FA6" w:rsidRPr="004E2FA6">
        <w:rPr>
          <w:rFonts w:ascii="Times New Roman" w:hAnsi="Times New Roman" w:cs="Times New Roman"/>
          <w:b/>
          <w:sz w:val="28"/>
          <w:szCs w:val="28"/>
          <w:lang w:val="en-US"/>
        </w:rPr>
        <w:t xml:space="preserve">số </w:t>
      </w:r>
      <w:hyperlink r:id="rId11" w:tgtFrame="_blank" w:history="1">
        <w:r w:rsidR="004E2FA6" w:rsidRPr="004E2FA6">
          <w:rPr>
            <w:rStyle w:val="Hyperlink"/>
            <w:rFonts w:ascii="Times New Roman" w:hAnsi="Times New Roman" w:cs="Times New Roman"/>
            <w:b/>
            <w:color w:val="auto"/>
            <w:sz w:val="28"/>
            <w:szCs w:val="28"/>
            <w:u w:val="none"/>
          </w:rPr>
          <w:t>17/2023/TT-NHNN</w:t>
        </w:r>
      </w:hyperlink>
      <w:r w:rsidR="004E2FA6">
        <w:rPr>
          <w:rFonts w:ascii="Times New Roman" w:hAnsi="Times New Roman" w:cs="Times New Roman"/>
          <w:b/>
          <w:sz w:val="28"/>
          <w:szCs w:val="28"/>
          <w:lang w:val="en-US"/>
        </w:rPr>
        <w:t xml:space="preserve">ngày 25/12/2023 của </w:t>
      </w:r>
      <w:r w:rsidR="004E2FA6" w:rsidRPr="00443778">
        <w:rPr>
          <w:rFonts w:ascii="Times New Roman" w:hAnsi="Times New Roman" w:cs="Times New Roman"/>
          <w:b/>
          <w:sz w:val="28"/>
          <w:szCs w:val="28"/>
        </w:rPr>
        <w:t>Thống đ</w:t>
      </w:r>
      <w:r w:rsidR="004E2FA6" w:rsidRPr="00443778">
        <w:rPr>
          <w:rFonts w:ascii="Times New Roman" w:hAnsi="Times New Roman" w:cs="Times New Roman"/>
          <w:b/>
          <w:sz w:val="28"/>
          <w:szCs w:val="28"/>
          <w:lang w:val="en-US"/>
        </w:rPr>
        <w:t>ố</w:t>
      </w:r>
      <w:r w:rsidR="004E2FA6" w:rsidRPr="00443778">
        <w:rPr>
          <w:rFonts w:ascii="Times New Roman" w:hAnsi="Times New Roman" w:cs="Times New Roman"/>
          <w:b/>
          <w:sz w:val="28"/>
          <w:szCs w:val="28"/>
        </w:rPr>
        <w:t>c Ngân hàng Nhà nước Việt Nam quy định về kiểm tra chấp hành chính sách, pháp luật về tiền tệ và ngân hàng</w:t>
      </w:r>
      <w:r w:rsidR="004E2FA6" w:rsidRPr="00443778">
        <w:rPr>
          <w:rFonts w:ascii="Times New Roman" w:hAnsi="Times New Roman" w:cs="Times New Roman"/>
          <w:b/>
          <w:sz w:val="28"/>
          <w:szCs w:val="28"/>
          <w:lang w:val="en-US"/>
        </w:rPr>
        <w:t>, có hiệu lực từ ngày 08/02/2024</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Theo đó, việc kiểm tra chấp hành chính sách, pháp luật về tiền tệ và ngân hàng được thực hiện theo các nguyên tắc sau đây:</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Việc kiểm tra được thực hiện đúng thẩm quyền và trên cơ sở quy định pháp luật.</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Việc kiểm tra được tiến hành thường xuyên theo kế hoạch hoặc đột xuất.</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Bảo đảm chính xác, khách quan, trung thực, dân chủ, kịp thời, phối hợp hiệu quả.</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 Bảo đảm không chồng chéo, trùng lặp về nội dung, thời gian, đối tượng kiểm tra giữa hoạt động kiểm tra của các đơn vị kiểm tra, giữa hoạt động kiểm tra với hoạt động thanh tra.</w:t>
      </w:r>
    </w:p>
    <w:p w:rsidR="004E2FA6" w:rsidRPr="004E2FA6" w:rsidRDefault="004E2FA6" w:rsidP="00CE0F6C">
      <w:pPr>
        <w:spacing w:before="60" w:after="0"/>
        <w:ind w:firstLine="720"/>
        <w:jc w:val="both"/>
        <w:rPr>
          <w:rFonts w:ascii="Times New Roman" w:hAnsi="Times New Roman" w:cs="Times New Roman"/>
          <w:sz w:val="28"/>
          <w:szCs w:val="28"/>
        </w:rPr>
      </w:pPr>
      <w:r w:rsidRPr="004E2FA6">
        <w:rPr>
          <w:rFonts w:ascii="Times New Roman" w:hAnsi="Times New Roman" w:cs="Times New Roman"/>
          <w:sz w:val="28"/>
          <w:szCs w:val="28"/>
        </w:rPr>
        <w:t>Khi tiến hành hoạt động kiểm tra, nếu phát hiện chồng chéo, trùng lặp giữa hoạt động kiểm tra với hoạt động thanh tra thì thực hiện hoạt động thanh tra; nếu phát hiện chồng chéo, trùng lặp trong hoạt động kiểm tra, thủ trưởng các đơn vị kiểm tra thống nhất để thực hiện một cuộc kiểm tra.</w:t>
      </w:r>
    </w:p>
    <w:p w:rsidR="0084455E" w:rsidRPr="0084455E" w:rsidRDefault="00236D08" w:rsidP="00CE0F6C">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12</w:t>
      </w:r>
      <w:r w:rsidR="0084455E" w:rsidRPr="0084455E">
        <w:rPr>
          <w:rFonts w:ascii="Times New Roman" w:hAnsi="Times New Roman" w:cs="Times New Roman"/>
          <w:b/>
          <w:sz w:val="28"/>
          <w:szCs w:val="28"/>
        </w:rPr>
        <w:t>. Thông tư số 143/2023/TT-BQP ngày 27/12/2023 của Bộ Quốc phòng quy định xử lý kỷ luật trong Quân đội nhân dân Việt Nam, có hiệu lực từ</w:t>
      </w:r>
      <w:r w:rsidR="0084455E">
        <w:rPr>
          <w:rFonts w:ascii="Times New Roman" w:hAnsi="Times New Roman" w:cs="Times New Roman"/>
          <w:b/>
          <w:sz w:val="28"/>
          <w:szCs w:val="28"/>
        </w:rPr>
        <w:t xml:space="preserve"> ngày 15/02/2024</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Thông tư</w:t>
      </w:r>
      <w:r w:rsidR="0084455E" w:rsidRPr="0084455E">
        <w:rPr>
          <w:rFonts w:ascii="Times New Roman" w:hAnsi="Times New Roman" w:cs="Times New Roman"/>
          <w:sz w:val="28"/>
          <w:szCs w:val="28"/>
        </w:rPr>
        <w:t> có quy định xử lý kỷ luật trong Quân đội nhân dân Việt Nam trong đó bổ sung hình thức kỷ luật quân nhân đánh bạc, tổ chức đánh bạc, gá bạc và cho vay nặng lãi.</w:t>
      </w: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Cụ thể, Điều 42 Thông tư 143 nêu rõ, quân nhân bị kỷ luật:</w:t>
      </w:r>
    </w:p>
    <w:p w:rsidR="0084455E" w:rsidRPr="0084455E" w:rsidRDefault="0084455E" w:rsidP="00CE0F6C">
      <w:pPr>
        <w:spacing w:before="60" w:after="0"/>
        <w:ind w:firstLine="720"/>
        <w:jc w:val="both"/>
        <w:rPr>
          <w:rFonts w:ascii="Times New Roman" w:hAnsi="Times New Roman" w:cs="Times New Roman"/>
          <w:sz w:val="28"/>
          <w:szCs w:val="28"/>
        </w:rPr>
      </w:pPr>
      <w:r w:rsidRPr="0084455E">
        <w:rPr>
          <w:rFonts w:ascii="Times New Roman" w:hAnsi="Times New Roman" w:cs="Times New Roman"/>
          <w:sz w:val="28"/>
          <w:szCs w:val="28"/>
        </w:rPr>
        <w:t>- Khiển trách hoặc cảnh cáo: Đánh bạc, tổ chức đánh bạc, gá bạc trái phép hoặc cho vay nặng lãi dưới bất kỳ hình thức nào.</w:t>
      </w:r>
    </w:p>
    <w:p w:rsidR="0084455E" w:rsidRPr="0084455E" w:rsidRDefault="0084455E" w:rsidP="00CE0F6C">
      <w:pPr>
        <w:spacing w:before="60" w:after="0"/>
        <w:ind w:firstLine="720"/>
        <w:jc w:val="both"/>
        <w:rPr>
          <w:rFonts w:ascii="Times New Roman" w:hAnsi="Times New Roman" w:cs="Times New Roman"/>
          <w:sz w:val="28"/>
          <w:szCs w:val="28"/>
        </w:rPr>
      </w:pPr>
      <w:r w:rsidRPr="0084455E">
        <w:rPr>
          <w:rFonts w:ascii="Times New Roman" w:hAnsi="Times New Roman" w:cs="Times New Roman"/>
          <w:sz w:val="28"/>
          <w:szCs w:val="28"/>
        </w:rPr>
        <w:t>- Hạ bậc lương, giáng chức, cách chức đến giáng cấp bậc quân hàm nếu vi phạm một trong các trường hợp:</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Là chỉ huy</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Đã bị kỷ luật mà còn vi phạm</w:t>
      </w:r>
    </w:p>
    <w:p w:rsidR="0084455E" w:rsidRPr="0084455E" w:rsidRDefault="00EE341B" w:rsidP="00CE0F6C">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Lôi kéo người khác tham gia</w:t>
      </w:r>
    </w:p>
    <w:p w:rsidR="0084455E" w:rsidRDefault="00EE341B" w:rsidP="00CE0F6C">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4455E" w:rsidRPr="0084455E">
        <w:rPr>
          <w:rFonts w:ascii="Times New Roman" w:hAnsi="Times New Roman" w:cs="Times New Roman"/>
          <w:sz w:val="28"/>
          <w:szCs w:val="28"/>
        </w:rPr>
        <w:t>Cho thuê địa điểm đánh bạc.</w:t>
      </w:r>
    </w:p>
    <w:p w:rsidR="00075BED" w:rsidRDefault="00075BED" w:rsidP="00075BED">
      <w:pPr>
        <w:spacing w:before="120" w:after="0" w:line="281" w:lineRule="auto"/>
        <w:ind w:firstLine="720"/>
        <w:jc w:val="both"/>
        <w:rPr>
          <w:rFonts w:ascii="Times New Roman" w:hAnsi="Times New Roman" w:cs="Times New Roman"/>
          <w:sz w:val="28"/>
          <w:szCs w:val="28"/>
          <w:lang w:val="en-US"/>
        </w:rPr>
      </w:pPr>
      <w:r w:rsidRPr="005F716E">
        <w:rPr>
          <w:rFonts w:ascii="Times New Roman" w:hAnsi="Times New Roman" w:cs="Times New Roman"/>
          <w:sz w:val="28"/>
          <w:szCs w:val="28"/>
        </w:rPr>
        <w:t xml:space="preserve">Trên đây là một số chính sách văn bản pháp luật có hiệu lực trong tháng </w:t>
      </w:r>
      <w:r w:rsidR="00CE0F6C">
        <w:rPr>
          <w:rFonts w:ascii="Times New Roman" w:hAnsi="Times New Roman" w:cs="Times New Roman"/>
          <w:sz w:val="28"/>
          <w:szCs w:val="28"/>
          <w:lang w:val="en-US"/>
        </w:rPr>
        <w:t>02</w:t>
      </w:r>
      <w:r w:rsidRPr="005F716E">
        <w:rPr>
          <w:rFonts w:ascii="Times New Roman" w:hAnsi="Times New Roman" w:cs="Times New Roman"/>
          <w:sz w:val="28"/>
          <w:szCs w:val="28"/>
        </w:rPr>
        <w:t>/202</w:t>
      </w:r>
      <w:r w:rsidR="00CE0F6C">
        <w:rPr>
          <w:rFonts w:ascii="Times New Roman" w:hAnsi="Times New Roman" w:cs="Times New Roman"/>
          <w:sz w:val="28"/>
          <w:szCs w:val="28"/>
          <w:lang w:val="en-US"/>
        </w:rPr>
        <w:t>4</w:t>
      </w:r>
      <w:r w:rsidRPr="005F716E">
        <w:rPr>
          <w:rFonts w:ascii="Times New Roman" w:hAnsi="Times New Roman" w:cs="Times New Roman"/>
          <w:sz w:val="28"/>
          <w:szCs w:val="28"/>
        </w:rPr>
        <w:t>, Hội đồ</w:t>
      </w:r>
      <w:r w:rsidR="00C1431E">
        <w:rPr>
          <w:rFonts w:ascii="Times New Roman" w:hAnsi="Times New Roman" w:cs="Times New Roman"/>
          <w:sz w:val="28"/>
          <w:szCs w:val="28"/>
        </w:rPr>
        <w:t xml:space="preserve">ng PBGDPL </w:t>
      </w:r>
      <w:r w:rsidRPr="005F716E">
        <w:rPr>
          <w:rFonts w:ascii="Times New Roman" w:hAnsi="Times New Roman" w:cs="Times New Roman"/>
          <w:sz w:val="28"/>
          <w:szCs w:val="28"/>
        </w:rPr>
        <w:t xml:space="preserve">xã tổng hợp cung cấp thông tin đến các </w:t>
      </w:r>
      <w:r>
        <w:rPr>
          <w:rFonts w:ascii="Times New Roman" w:hAnsi="Times New Roman" w:cs="Times New Roman"/>
          <w:sz w:val="28"/>
          <w:szCs w:val="28"/>
          <w:lang w:val="en-US"/>
        </w:rPr>
        <w:t xml:space="preserve">cán bộ, công chức, </w:t>
      </w:r>
      <w:r w:rsidRPr="005F716E">
        <w:rPr>
          <w:rFonts w:ascii="Times New Roman" w:hAnsi="Times New Roman" w:cs="Times New Roman"/>
          <w:sz w:val="28"/>
          <w:szCs w:val="28"/>
        </w:rPr>
        <w:t>cơ quan đơn vị có liên quan căn cứ</w:t>
      </w:r>
      <w:r w:rsidRPr="005F716E">
        <w:rPr>
          <w:rFonts w:ascii="Times New Roman" w:hAnsi="Times New Roman" w:cs="Times New Roman"/>
          <w:sz w:val="28"/>
          <w:szCs w:val="28"/>
          <w:lang w:val="en-US"/>
        </w:rPr>
        <w:t xml:space="preserve"> chức năng, nhiệm vụ tổ chức</w:t>
      </w:r>
      <w:r w:rsidRPr="005F716E">
        <w:rPr>
          <w:rFonts w:ascii="Times New Roman" w:hAnsi="Times New Roman" w:cs="Times New Roman"/>
          <w:sz w:val="28"/>
          <w:szCs w:val="28"/>
        </w:rPr>
        <w:t xml:space="preserve"> thực hiện./.</w:t>
      </w:r>
    </w:p>
    <w:p w:rsidR="00075BED" w:rsidRPr="005F716E" w:rsidRDefault="00075BED" w:rsidP="00075BED">
      <w:pPr>
        <w:spacing w:before="120" w:after="0"/>
        <w:ind w:firstLine="720"/>
        <w:jc w:val="both"/>
        <w:rPr>
          <w:rFonts w:ascii="Times New Roman" w:hAnsi="Times New Roman" w:cs="Times New Roman"/>
          <w:b/>
          <w:sz w:val="18"/>
          <w:szCs w:val="28"/>
          <w:lang w:val="en-US"/>
        </w:rPr>
      </w:pPr>
    </w:p>
    <w:p w:rsidR="00075BED" w:rsidRPr="00A47EB6" w:rsidRDefault="00C1431E" w:rsidP="000D2169">
      <w:pPr>
        <w:spacing w:after="60"/>
        <w:ind w:left="1440" w:firstLine="720"/>
        <w:jc w:val="center"/>
        <w:rPr>
          <w:rFonts w:ascii="Times New Roman" w:hAnsi="Times New Roman" w:cs="Times New Roman"/>
          <w:sz w:val="28"/>
          <w:szCs w:val="28"/>
          <w:lang w:val="en-US"/>
        </w:rPr>
      </w:pPr>
      <w:r>
        <w:rPr>
          <w:rFonts w:ascii="Times New Roman" w:hAnsi="Times New Roman" w:cs="Times New Roman"/>
          <w:b/>
          <w:sz w:val="28"/>
          <w:szCs w:val="28"/>
          <w:lang w:val="en-US"/>
        </w:rPr>
        <w:t>ỦY BAN NHÂN DÂN XÃ KỲ THƯỢNG</w:t>
      </w:r>
      <w:bookmarkStart w:id="0" w:name="_GoBack"/>
      <w:bookmarkEnd w:id="0"/>
    </w:p>
    <w:p w:rsidR="0096090F" w:rsidRDefault="0096090F"/>
    <w:sectPr w:rsidR="0096090F" w:rsidSect="00295FAF">
      <w:headerReference w:type="default" r:id="rId12"/>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06" w:rsidRDefault="00607406" w:rsidP="007137D4">
      <w:pPr>
        <w:spacing w:after="0" w:line="240" w:lineRule="auto"/>
      </w:pPr>
      <w:r>
        <w:separator/>
      </w:r>
    </w:p>
  </w:endnote>
  <w:endnote w:type="continuationSeparator" w:id="0">
    <w:p w:rsidR="00607406" w:rsidRDefault="0060740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06" w:rsidRDefault="00607406" w:rsidP="007137D4">
      <w:pPr>
        <w:spacing w:after="0" w:line="240" w:lineRule="auto"/>
      </w:pPr>
      <w:r>
        <w:separator/>
      </w:r>
    </w:p>
  </w:footnote>
  <w:footnote w:type="continuationSeparator" w:id="0">
    <w:p w:rsidR="00607406" w:rsidRDefault="00607406"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3322"/>
      <w:docPartObj>
        <w:docPartGallery w:val="Page Numbers (Top of Page)"/>
        <w:docPartUnique/>
      </w:docPartObj>
    </w:sdtPr>
    <w:sdtEndPr/>
    <w:sdtContent>
      <w:p w:rsidR="00BF4EEA" w:rsidRDefault="00046228" w:rsidP="00046228">
        <w:pPr>
          <w:pStyle w:val="Header"/>
          <w:tabs>
            <w:tab w:val="left" w:pos="4380"/>
            <w:tab w:val="center" w:pos="4535"/>
          </w:tabs>
        </w:pPr>
        <w:r>
          <w:tab/>
        </w:r>
      </w:p>
    </w:sdtContent>
  </w:sdt>
  <w:p w:rsidR="00BF4EEA" w:rsidRDefault="00BF4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lvlOverride w:ilvl="0">
      <w:startOverride w:val="2"/>
    </w:lvlOverride>
  </w:num>
  <w:num w:numId="3">
    <w:abstractNumId w:val="5"/>
    <w:lvlOverride w:ilvl="0">
      <w:startOverride w:val="3"/>
    </w:lvlOverride>
  </w:num>
  <w:num w:numId="4">
    <w:abstractNumId w:val="3"/>
    <w:lvlOverride w:ilvl="0">
      <w:startOverride w:val="4"/>
    </w:lvlOverride>
  </w:num>
  <w:num w:numId="5">
    <w:abstractNumId w:val="2"/>
    <w:lvlOverride w:ilvl="0">
      <w:startOverride w:val="5"/>
    </w:lvlOverride>
  </w:num>
  <w:num w:numId="6">
    <w:abstractNumId w:val="7"/>
    <w:lvlOverride w:ilvl="0">
      <w:startOverride w:val="6"/>
    </w:lvlOverride>
  </w:num>
  <w:num w:numId="7">
    <w:abstractNumId w:val="9"/>
    <w:lvlOverride w:ilvl="0">
      <w:startOverride w:val="7"/>
    </w:lvlOverride>
  </w:num>
  <w:num w:numId="8">
    <w:abstractNumId w:val="10"/>
    <w:lvlOverride w:ilvl="0">
      <w:startOverride w:val="8"/>
    </w:lvlOverride>
  </w:num>
  <w:num w:numId="9">
    <w:abstractNumId w:val="8"/>
    <w:lvlOverride w:ilvl="0">
      <w:startOverride w:val="9"/>
    </w:lvlOverride>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53639"/>
    <w:rsid w:val="00053FD8"/>
    <w:rsid w:val="000601BD"/>
    <w:rsid w:val="0006112F"/>
    <w:rsid w:val="00075BED"/>
    <w:rsid w:val="0007710D"/>
    <w:rsid w:val="00083711"/>
    <w:rsid w:val="00091586"/>
    <w:rsid w:val="00097CED"/>
    <w:rsid w:val="000A2F89"/>
    <w:rsid w:val="000B6358"/>
    <w:rsid w:val="000B74F1"/>
    <w:rsid w:val="000C1A88"/>
    <w:rsid w:val="000D2169"/>
    <w:rsid w:val="000D2A7B"/>
    <w:rsid w:val="000D50A2"/>
    <w:rsid w:val="000E31A2"/>
    <w:rsid w:val="00100C54"/>
    <w:rsid w:val="001226E1"/>
    <w:rsid w:val="001256D1"/>
    <w:rsid w:val="00151D60"/>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F0DB8"/>
    <w:rsid w:val="001F6750"/>
    <w:rsid w:val="00205C37"/>
    <w:rsid w:val="0020663F"/>
    <w:rsid w:val="00211E75"/>
    <w:rsid w:val="00227570"/>
    <w:rsid w:val="00235105"/>
    <w:rsid w:val="00236D08"/>
    <w:rsid w:val="00251BB1"/>
    <w:rsid w:val="00264E2E"/>
    <w:rsid w:val="0026771A"/>
    <w:rsid w:val="00280A5F"/>
    <w:rsid w:val="002875D8"/>
    <w:rsid w:val="00295585"/>
    <w:rsid w:val="00295FAF"/>
    <w:rsid w:val="002A3BB0"/>
    <w:rsid w:val="002A5F27"/>
    <w:rsid w:val="002B2F7A"/>
    <w:rsid w:val="002B6F8A"/>
    <w:rsid w:val="002C1430"/>
    <w:rsid w:val="002C35AF"/>
    <w:rsid w:val="002C5C04"/>
    <w:rsid w:val="002D0EE8"/>
    <w:rsid w:val="002D116B"/>
    <w:rsid w:val="002D270D"/>
    <w:rsid w:val="002F6ECA"/>
    <w:rsid w:val="00323106"/>
    <w:rsid w:val="003268D5"/>
    <w:rsid w:val="00326A98"/>
    <w:rsid w:val="00365351"/>
    <w:rsid w:val="003835E1"/>
    <w:rsid w:val="00384903"/>
    <w:rsid w:val="00385538"/>
    <w:rsid w:val="0038558D"/>
    <w:rsid w:val="003C62CB"/>
    <w:rsid w:val="003D3540"/>
    <w:rsid w:val="003E2D6F"/>
    <w:rsid w:val="003E791B"/>
    <w:rsid w:val="003F7DA7"/>
    <w:rsid w:val="00414112"/>
    <w:rsid w:val="004234E8"/>
    <w:rsid w:val="00423F7C"/>
    <w:rsid w:val="0042540E"/>
    <w:rsid w:val="00436A17"/>
    <w:rsid w:val="004377F3"/>
    <w:rsid w:val="00443778"/>
    <w:rsid w:val="00443C7A"/>
    <w:rsid w:val="0044552A"/>
    <w:rsid w:val="00445B76"/>
    <w:rsid w:val="004531A6"/>
    <w:rsid w:val="00454324"/>
    <w:rsid w:val="00454E4B"/>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13354"/>
    <w:rsid w:val="0052194D"/>
    <w:rsid w:val="00530BCF"/>
    <w:rsid w:val="0054451F"/>
    <w:rsid w:val="0054692F"/>
    <w:rsid w:val="005478C9"/>
    <w:rsid w:val="00550150"/>
    <w:rsid w:val="0055239A"/>
    <w:rsid w:val="005566D8"/>
    <w:rsid w:val="00557F89"/>
    <w:rsid w:val="0056127D"/>
    <w:rsid w:val="005618BE"/>
    <w:rsid w:val="005A06E3"/>
    <w:rsid w:val="005A3288"/>
    <w:rsid w:val="005A5A85"/>
    <w:rsid w:val="005B019A"/>
    <w:rsid w:val="005B28BD"/>
    <w:rsid w:val="005B6170"/>
    <w:rsid w:val="005D7C2F"/>
    <w:rsid w:val="005E40A5"/>
    <w:rsid w:val="005E5DAB"/>
    <w:rsid w:val="005E73D8"/>
    <w:rsid w:val="005F0155"/>
    <w:rsid w:val="0060517B"/>
    <w:rsid w:val="00607406"/>
    <w:rsid w:val="00616881"/>
    <w:rsid w:val="00617185"/>
    <w:rsid w:val="006222AA"/>
    <w:rsid w:val="00630334"/>
    <w:rsid w:val="00630A30"/>
    <w:rsid w:val="0063619A"/>
    <w:rsid w:val="0064581D"/>
    <w:rsid w:val="00654911"/>
    <w:rsid w:val="00657302"/>
    <w:rsid w:val="006574EF"/>
    <w:rsid w:val="00675297"/>
    <w:rsid w:val="006816A6"/>
    <w:rsid w:val="006939A6"/>
    <w:rsid w:val="006A31BA"/>
    <w:rsid w:val="006A592B"/>
    <w:rsid w:val="006B1A8A"/>
    <w:rsid w:val="006B2B5E"/>
    <w:rsid w:val="006B302B"/>
    <w:rsid w:val="006E3A9F"/>
    <w:rsid w:val="006E55B1"/>
    <w:rsid w:val="006F5978"/>
    <w:rsid w:val="0071028F"/>
    <w:rsid w:val="007137D4"/>
    <w:rsid w:val="00725810"/>
    <w:rsid w:val="00725F00"/>
    <w:rsid w:val="007408BF"/>
    <w:rsid w:val="00741985"/>
    <w:rsid w:val="00750091"/>
    <w:rsid w:val="00753599"/>
    <w:rsid w:val="00756FC7"/>
    <w:rsid w:val="007639F3"/>
    <w:rsid w:val="00784F0B"/>
    <w:rsid w:val="007A0906"/>
    <w:rsid w:val="007A6532"/>
    <w:rsid w:val="007B1FB0"/>
    <w:rsid w:val="007E3A4B"/>
    <w:rsid w:val="007E7248"/>
    <w:rsid w:val="00800B74"/>
    <w:rsid w:val="00805A18"/>
    <w:rsid w:val="00812D50"/>
    <w:rsid w:val="00815AD3"/>
    <w:rsid w:val="00820E24"/>
    <w:rsid w:val="0084455E"/>
    <w:rsid w:val="00846FD2"/>
    <w:rsid w:val="00850221"/>
    <w:rsid w:val="008561AE"/>
    <w:rsid w:val="00856C31"/>
    <w:rsid w:val="00861A15"/>
    <w:rsid w:val="00875B06"/>
    <w:rsid w:val="00883111"/>
    <w:rsid w:val="008837E3"/>
    <w:rsid w:val="0089105C"/>
    <w:rsid w:val="008971BD"/>
    <w:rsid w:val="008979FD"/>
    <w:rsid w:val="008A0937"/>
    <w:rsid w:val="008A4378"/>
    <w:rsid w:val="008B55FB"/>
    <w:rsid w:val="008B661A"/>
    <w:rsid w:val="008C2FF3"/>
    <w:rsid w:val="008C7B54"/>
    <w:rsid w:val="008D2F41"/>
    <w:rsid w:val="008E1A82"/>
    <w:rsid w:val="008F0B15"/>
    <w:rsid w:val="008F4182"/>
    <w:rsid w:val="009152D6"/>
    <w:rsid w:val="00916937"/>
    <w:rsid w:val="00920B64"/>
    <w:rsid w:val="009362D0"/>
    <w:rsid w:val="00937E83"/>
    <w:rsid w:val="00941E66"/>
    <w:rsid w:val="009442CE"/>
    <w:rsid w:val="0095371D"/>
    <w:rsid w:val="00956D11"/>
    <w:rsid w:val="0096090F"/>
    <w:rsid w:val="00960BC2"/>
    <w:rsid w:val="00961C26"/>
    <w:rsid w:val="009703E7"/>
    <w:rsid w:val="009769CC"/>
    <w:rsid w:val="009839AB"/>
    <w:rsid w:val="00995DDA"/>
    <w:rsid w:val="009A2854"/>
    <w:rsid w:val="009A3F4D"/>
    <w:rsid w:val="009B1510"/>
    <w:rsid w:val="009B32C9"/>
    <w:rsid w:val="009B5EE7"/>
    <w:rsid w:val="009C116F"/>
    <w:rsid w:val="009E1FEF"/>
    <w:rsid w:val="00A07596"/>
    <w:rsid w:val="00A10ADB"/>
    <w:rsid w:val="00A11DB3"/>
    <w:rsid w:val="00A1348E"/>
    <w:rsid w:val="00A219FE"/>
    <w:rsid w:val="00A23071"/>
    <w:rsid w:val="00A46671"/>
    <w:rsid w:val="00A47EB6"/>
    <w:rsid w:val="00A5546C"/>
    <w:rsid w:val="00A73B73"/>
    <w:rsid w:val="00A744E8"/>
    <w:rsid w:val="00A77872"/>
    <w:rsid w:val="00A8149B"/>
    <w:rsid w:val="00A969A8"/>
    <w:rsid w:val="00A9723F"/>
    <w:rsid w:val="00AA2051"/>
    <w:rsid w:val="00AA490D"/>
    <w:rsid w:val="00AD2A07"/>
    <w:rsid w:val="00AD44D1"/>
    <w:rsid w:val="00AD4F7C"/>
    <w:rsid w:val="00AF3F39"/>
    <w:rsid w:val="00B433FA"/>
    <w:rsid w:val="00B51CE9"/>
    <w:rsid w:val="00B574AB"/>
    <w:rsid w:val="00B66DE3"/>
    <w:rsid w:val="00B66E4A"/>
    <w:rsid w:val="00B84235"/>
    <w:rsid w:val="00B9232C"/>
    <w:rsid w:val="00BA14EB"/>
    <w:rsid w:val="00BA29D1"/>
    <w:rsid w:val="00BB767A"/>
    <w:rsid w:val="00BD68E2"/>
    <w:rsid w:val="00BD6A0C"/>
    <w:rsid w:val="00BE1A51"/>
    <w:rsid w:val="00BE6BF1"/>
    <w:rsid w:val="00BF031E"/>
    <w:rsid w:val="00BF4EEA"/>
    <w:rsid w:val="00C06185"/>
    <w:rsid w:val="00C14041"/>
    <w:rsid w:val="00C1431E"/>
    <w:rsid w:val="00C23CD4"/>
    <w:rsid w:val="00C24CCD"/>
    <w:rsid w:val="00C3506A"/>
    <w:rsid w:val="00C4506B"/>
    <w:rsid w:val="00C511CD"/>
    <w:rsid w:val="00C63914"/>
    <w:rsid w:val="00C948F5"/>
    <w:rsid w:val="00CA4366"/>
    <w:rsid w:val="00CB4738"/>
    <w:rsid w:val="00CB4E44"/>
    <w:rsid w:val="00CB4FC1"/>
    <w:rsid w:val="00CB7FF5"/>
    <w:rsid w:val="00CC1D4D"/>
    <w:rsid w:val="00CD68D3"/>
    <w:rsid w:val="00CE0F6C"/>
    <w:rsid w:val="00CE2BD2"/>
    <w:rsid w:val="00D0467A"/>
    <w:rsid w:val="00D25649"/>
    <w:rsid w:val="00D368CF"/>
    <w:rsid w:val="00D376E9"/>
    <w:rsid w:val="00D438D8"/>
    <w:rsid w:val="00D447EE"/>
    <w:rsid w:val="00D53702"/>
    <w:rsid w:val="00D5653D"/>
    <w:rsid w:val="00D67D7D"/>
    <w:rsid w:val="00D818AE"/>
    <w:rsid w:val="00D9211A"/>
    <w:rsid w:val="00D923C3"/>
    <w:rsid w:val="00DB660C"/>
    <w:rsid w:val="00DC65E3"/>
    <w:rsid w:val="00DC6612"/>
    <w:rsid w:val="00DC6FAA"/>
    <w:rsid w:val="00DD7E78"/>
    <w:rsid w:val="00DE1A32"/>
    <w:rsid w:val="00DE5D64"/>
    <w:rsid w:val="00DF5AD5"/>
    <w:rsid w:val="00E02E19"/>
    <w:rsid w:val="00E22372"/>
    <w:rsid w:val="00E47C6B"/>
    <w:rsid w:val="00E50882"/>
    <w:rsid w:val="00E5630E"/>
    <w:rsid w:val="00E57456"/>
    <w:rsid w:val="00E6101C"/>
    <w:rsid w:val="00E61F7F"/>
    <w:rsid w:val="00E65F5E"/>
    <w:rsid w:val="00E71AF3"/>
    <w:rsid w:val="00E94232"/>
    <w:rsid w:val="00EA1E92"/>
    <w:rsid w:val="00EB1256"/>
    <w:rsid w:val="00EB1C28"/>
    <w:rsid w:val="00ED4C76"/>
    <w:rsid w:val="00EE2A28"/>
    <w:rsid w:val="00EE3014"/>
    <w:rsid w:val="00EE32BD"/>
    <w:rsid w:val="00EE341B"/>
    <w:rsid w:val="00EE7EEE"/>
    <w:rsid w:val="00F05505"/>
    <w:rsid w:val="00F16C3C"/>
    <w:rsid w:val="00F51EDC"/>
    <w:rsid w:val="00F54233"/>
    <w:rsid w:val="00F55440"/>
    <w:rsid w:val="00F564DB"/>
    <w:rsid w:val="00F614CF"/>
    <w:rsid w:val="00F61984"/>
    <w:rsid w:val="00F762F2"/>
    <w:rsid w:val="00F847F7"/>
    <w:rsid w:val="00F96F0F"/>
    <w:rsid w:val="00FA2C09"/>
    <w:rsid w:val="00FA4009"/>
    <w:rsid w:val="00FA7E1D"/>
    <w:rsid w:val="00FB362E"/>
    <w:rsid w:val="00FC2B29"/>
    <w:rsid w:val="00FD1362"/>
    <w:rsid w:val="00FD1831"/>
    <w:rsid w:val="00FD35D8"/>
    <w:rsid w:val="00FD394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3C62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character" w:customStyle="1" w:styleId="Heading1Char">
    <w:name w:val="Heading 1 Char"/>
    <w:basedOn w:val="DefaultParagraphFont"/>
    <w:link w:val="Heading1"/>
    <w:uiPriority w:val="9"/>
    <w:rsid w:val="003C62CB"/>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3C62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character" w:customStyle="1" w:styleId="Heading1Char">
    <w:name w:val="Heading 1 Char"/>
    <w:basedOn w:val="DefaultParagraphFont"/>
    <w:link w:val="Heading1"/>
    <w:uiPriority w:val="9"/>
    <w:rsid w:val="003C62CB"/>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932634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77887670">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601720633">
      <w:bodyDiv w:val="1"/>
      <w:marLeft w:val="0"/>
      <w:marRight w:val="0"/>
      <w:marTop w:val="0"/>
      <w:marBottom w:val="0"/>
      <w:divBdr>
        <w:top w:val="none" w:sz="0" w:space="0" w:color="auto"/>
        <w:left w:val="none" w:sz="0" w:space="0" w:color="auto"/>
        <w:bottom w:val="none" w:sz="0" w:space="0" w:color="auto"/>
        <w:right w:val="none" w:sz="0" w:space="0" w:color="auto"/>
      </w:divBdr>
    </w:div>
    <w:div w:id="1702822368">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440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17%2f2023%2fTT-NHNN&amp;area=2&amp;type=0&amp;lan=1&amp;match=False&amp;sort=2&amp;vc=True" TargetMode="External"/><Relationship Id="rId5" Type="http://schemas.openxmlformats.org/officeDocument/2006/relationships/settings" Target="settings.xml"/><Relationship Id="rId10" Type="http://schemas.openxmlformats.org/officeDocument/2006/relationships/hyperlink" Target="https://thuvienphapluat.vn/phap-luat/tim-van-ban.aspx?keyword=87%2f2023%2fN%c4%90-CP&amp;area=2&amp;type=0&amp;lan=1&amp;match=False&amp;sort=2&amp;vc=True"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90%2f2023%2fN%c4%90-CP&amp;area=2&amp;type=0&amp;lan=1&amp;match=False&amp;sort=2&amp;vc=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F2D02-78BB-4F1A-AD58-0082B35F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2024-07-03T15:27:00Z</cp:lastPrinted>
  <dcterms:created xsi:type="dcterms:W3CDTF">2024-07-03T15:27:00Z</dcterms:created>
  <dcterms:modified xsi:type="dcterms:W3CDTF">2024-07-03T15:27:00Z</dcterms:modified>
</cp:coreProperties>
</file>