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36351AD5" w14:textId="183C97B8" w:rsidR="003F763D" w:rsidRPr="00733B5F" w:rsidRDefault="00733B5F" w:rsidP="00377A7D">
            <w:pPr>
              <w:spacing w:before="40" w:after="40" w:line="240" w:lineRule="auto"/>
              <w:jc w:val="center"/>
              <w:rPr>
                <w:rFonts w:ascii="Times New Roman" w:hAnsi="Times New Roman" w:cs="Times New Roman"/>
                <w:b/>
                <w:sz w:val="26"/>
                <w:lang w:val="en-US"/>
              </w:rPr>
            </w:pPr>
            <w:bookmarkStart w:id="0" w:name="_GoBack"/>
            <w:bookmarkEnd w:id="0"/>
            <w:r w:rsidRPr="00733B5F">
              <w:rPr>
                <w:rFonts w:ascii="Times New Roman" w:hAnsi="Times New Roman" w:cs="Times New Roman"/>
                <w:b/>
                <w:sz w:val="26"/>
                <w:lang w:val="en-US"/>
              </w:rPr>
              <w:t>ỦY BAN NHÂN DÂN</w:t>
            </w:r>
          </w:p>
          <w:p w14:paraId="0AFB89A8" w14:textId="604AEC3D" w:rsidR="00733B5F" w:rsidRPr="0044292C" w:rsidRDefault="00733B5F" w:rsidP="00377A7D">
            <w:pPr>
              <w:spacing w:before="40" w:after="40" w:line="240" w:lineRule="auto"/>
              <w:jc w:val="center"/>
              <w:rPr>
                <w:rFonts w:ascii="Times New Roman" w:hAnsi="Times New Roman" w:cs="Times New Roman"/>
              </w:rPr>
            </w:pPr>
            <w:r w:rsidRPr="00733B5F">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7522B57E">
                      <wp:simplePos x="0" y="0"/>
                      <wp:positionH relativeFrom="column">
                        <wp:posOffset>796290</wp:posOffset>
                      </wp:positionH>
                      <wp:positionV relativeFrom="paragraph">
                        <wp:posOffset>202565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E36689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5.95pt" to="110.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" strokecolor="black [3040]"/>
                  </w:pict>
                </mc:Fallback>
              </mc:AlternateContent>
            </w:r>
            <w:r w:rsidRPr="00733B5F">
              <w:rPr>
                <w:rFonts w:ascii="Times New Roman" w:hAnsi="Times New Roman" w:cs="Times New Roman"/>
                <w:b/>
                <w:sz w:val="26"/>
                <w:lang w:val="en-US"/>
              </w:rPr>
              <w:t>XÃ KỲ TH</w:t>
            </w:r>
            <w:r w:rsidR="0044292C">
              <w:rPr>
                <w:rFonts w:ascii="Times New Roman" w:hAnsi="Times New Roman" w:cs="Times New Roman"/>
                <w:b/>
                <w:sz w:val="26"/>
              </w:rPr>
              <w:t>ƯỢNG</w: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395F0E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0C2289C"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lastRenderedPageBreak/>
        <w:t>Số lượng cấp phó của người đứng đầu vụ, cục, thanh tra, văn phòng thuộc tổng cục thuộc bộ</w:t>
      </w:r>
    </w:p>
    <w:p w14:paraId="5DADBA1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8B70C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 xml:space="preserve">Thông tin về tên của tổ chức, cá nhân và các thông tin liên quan đến tổ </w:t>
      </w:r>
      <w:r w:rsidRPr="00824364">
        <w:rPr>
          <w:rFonts w:ascii="Times New Roman" w:hAnsi="Times New Roman" w:cs="Times New Roman"/>
          <w:sz w:val="28"/>
          <w:szCs w:val="28"/>
        </w:rPr>
        <w:lastRenderedPageBreak/>
        <w:t>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1EB18AFF" w14:textId="77777777" w:rsidR="00343467"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43467">
      <w:pPr>
        <w:spacing w:after="0"/>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lastRenderedPageBreak/>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43467">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75101B67"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9"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05F82F7D"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hyperlink r:id="rId10"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11"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B06B4A">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 xml:space="preserve">Tại đây, BGTVT đã hướng dẫn chi tiết trình tự thực hiện thủ tục và thành phần để lập hồ sơ đối với hồ sơ thiết kế đóng mới, hoán cải, sửa đổi, thiết kế lập </w:t>
      </w:r>
      <w:r w:rsidRPr="00B06B4A">
        <w:rPr>
          <w:rFonts w:ascii="Times New Roman" w:hAnsi="Times New Roman" w:cs="Times New Roman"/>
          <w:sz w:val="28"/>
          <w:szCs w:val="28"/>
        </w:rPr>
        <w:lastRenderedPageBreak/>
        <w:t>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30819A0C" w14:textId="6A9B882D"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 xml:space="preserve">trực thuộc Cục Chăn nuôi trên cơ sở Đề án tổ chức lại Trung tâm Khảo, kiểm nghiệm và Kiểm định chăn nuôi thành Trung tâm Khảo nghiệm, </w:t>
      </w:r>
      <w:r w:rsidRPr="00165CD0">
        <w:rPr>
          <w:rFonts w:ascii="Times New Roman" w:hAnsi="Times New Roman" w:cs="Times New Roman"/>
          <w:color w:val="000000" w:themeColor="text1"/>
          <w:sz w:val="28"/>
          <w:szCs w:val="28"/>
        </w:rPr>
        <w:lastRenderedPageBreak/>
        <w:t>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lang w:val="en-US"/>
        </w:rPr>
      </w:pPr>
      <w:r w:rsidRPr="00165CD0">
        <w:rPr>
          <w:rFonts w:ascii="Times New Roman" w:hAnsi="Times New Roman" w:cs="Times New Roman"/>
          <w:color w:val="000000" w:themeColor="text1"/>
          <w:sz w:val="28"/>
          <w:szCs w:val="28"/>
          <w:lang w:val="en-US"/>
        </w:rPr>
        <w:t>Phòng Phân tích.</w:t>
      </w:r>
    </w:p>
    <w:p w14:paraId="1C15C26A" w14:textId="3947DF20" w:rsidR="00B06B4A" w:rsidRPr="00165CD0" w:rsidRDefault="00165CD0" w:rsidP="00165CD0">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2"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3"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lastRenderedPageBreak/>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chính (hạng II), Bác sĩ y học dự phòng chính (hạng II), Y tế công cộng chính (hạng II), Dược sĩ chính (hạng II), Điều dưỡng hạng II, Hộ sinh hạng II, Kỹ thuật y hạng II, Dinh dưỡng hạng II, Dân số viên hạng II.</w:t>
      </w:r>
    </w:p>
    <w:p w14:paraId="6637DBE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“Thầy thuốc nhân dân”;</w:t>
      </w:r>
    </w:p>
    <w:p w14:paraId="40720217"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Đạt danh hiệu Chiến sĩ thi đua toàn quốc;</w:t>
      </w:r>
    </w:p>
    <w:p w14:paraId="70C6FA34"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Được khen thưởng Huân chương Lao động hạng Nhì trở lên;</w:t>
      </w:r>
    </w:p>
    <w:p w14:paraId="1C799288"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lastRenderedPageBreak/>
        <w:t>- Chủ nhiệm hoặc thành viên tham gia chính ít nhất 01 nhiệm vụ khoa học và công nghệ từ cấp bộ, cấp tỉnh trở lên và nhiệm vụ khoa học và công nghệ này phải được nghiệm thu từ mức đạt trở lên;</w:t>
      </w:r>
    </w:p>
    <w:p w14:paraId="7EF725C6"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trì hoặc thành viên tham gia chính ít nhất 01 đề án hoặc 01 hướng dẫn, quy trình chuyên môn kỹ thuật trong lĩnh vực công tác được cấp bộ, cấp tỉnh ban hành;</w:t>
      </w:r>
    </w:p>
    <w:p w14:paraId="6A7109E0"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Chủ nhiệm ít nhất 03 nhiệm vụ khoa học và công nghệ từ cấp cơ sở trở lên và nhiệm vụ khoa học và công nghệ này phải được nghiệm thu từ mức đạt trở lên...</w:t>
      </w:r>
    </w:p>
    <w:p w14:paraId="16ECE16D" w14:textId="703CD471"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9E124D">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 được quy định như sau:</w:t>
      </w:r>
    </w:p>
    <w:p w14:paraId="254B0D0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4"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5"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8A7BCD">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102169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6"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7"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0506DEF" w14:textId="77777777" w:rsidR="005A5D32" w:rsidRPr="005A5D32" w:rsidRDefault="005A5D32" w:rsidP="005A5D3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án giá cập nhật quý III hoặc kế hoạch cung cấp điện và vận hành hệ thống điện quốc gia năm N được cập nhật;</w:t>
      </w:r>
    </w:p>
    <w:p w14:paraId="1DC1002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21FBD0C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w:t>
      </w:r>
      <w:r w:rsidRPr="005A5D32">
        <w:rPr>
          <w:rFonts w:ascii="Times New Roman" w:hAnsi="Times New Roman" w:cs="Times New Roman"/>
          <w:sz w:val="28"/>
          <w:szCs w:val="28"/>
        </w:rPr>
        <w:lastRenderedPageBreak/>
        <w:t>điểm tính toán kế hoạch phương thức vận hành hệ thống điện quốc gia theo quy định tại khoản 1 Điều 11 Thông tư 09/2024/TT-BCT .</w:t>
      </w:r>
    </w:p>
    <w:p w14:paraId="77DF294F" w14:textId="54FCCBDB"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5A5D3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5A5D3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504374">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07C55E03" w14:textId="688FC9EA"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7708D212" w:rsidR="005A5D32" w:rsidRPr="005A5D32" w:rsidRDefault="00504374" w:rsidP="00504374">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20/9/2024</w:t>
      </w: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30C86C73" w:rsidR="003F763D" w:rsidRPr="00733B5F"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733B5F">
        <w:rPr>
          <w:rFonts w:ascii="Times New Roman" w:hAnsi="Times New Roman" w:cs="Times New Roman"/>
          <w:b/>
          <w:sz w:val="28"/>
          <w:szCs w:val="28"/>
          <w:lang w:val="en-US"/>
        </w:rPr>
        <w:t>ỦY BAN NHÂN DÂN XÃ</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8"/>
          <w:footerReference w:type="default" r:id="rId19"/>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E0B4B" w14:textId="77777777" w:rsidR="00686E36" w:rsidRDefault="00686E36" w:rsidP="007137D4">
      <w:pPr>
        <w:spacing w:after="0" w:line="240" w:lineRule="auto"/>
      </w:pPr>
      <w:r>
        <w:separator/>
      </w:r>
    </w:p>
  </w:endnote>
  <w:endnote w:type="continuationSeparator" w:id="0">
    <w:p w14:paraId="5A1C3CE2" w14:textId="77777777" w:rsidR="00686E36" w:rsidRDefault="00686E3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276628"/>
      <w:docPartObj>
        <w:docPartGallery w:val="Page Numbers (Bottom of Page)"/>
        <w:docPartUnique/>
      </w:docPartObj>
    </w:sdtPr>
    <w:sdtEndPr>
      <w:rPr>
        <w:noProof/>
      </w:rPr>
    </w:sdtEndPr>
    <w:sdtContent>
      <w:p w14:paraId="79769610" w14:textId="2EA6203F" w:rsidR="00353FC7" w:rsidRDefault="00353FC7">
        <w:pPr>
          <w:pStyle w:val="Footer"/>
          <w:jc w:val="center"/>
        </w:pPr>
        <w:r>
          <w:fldChar w:fldCharType="begin"/>
        </w:r>
        <w:r>
          <w:instrText xml:space="preserve"> PAGE   \* MERGEFORMAT </w:instrText>
        </w:r>
        <w:r>
          <w:fldChar w:fldCharType="separate"/>
        </w:r>
        <w:r w:rsidR="004D4BD2">
          <w:rPr>
            <w:noProof/>
          </w:rPr>
          <w:t>1</w:t>
        </w:r>
        <w:r>
          <w:rPr>
            <w:noProof/>
          </w:rPr>
          <w:fldChar w:fldCharType="end"/>
        </w:r>
      </w:p>
    </w:sdtContent>
  </w:sdt>
  <w:p w14:paraId="61BD5B8B" w14:textId="77777777" w:rsidR="00353FC7" w:rsidRDefault="00353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53BF" w14:textId="77777777" w:rsidR="00686E36" w:rsidRDefault="00686E36" w:rsidP="007137D4">
      <w:pPr>
        <w:spacing w:after="0" w:line="240" w:lineRule="auto"/>
      </w:pPr>
      <w:r>
        <w:separator/>
      </w:r>
    </w:p>
  </w:footnote>
  <w:footnote w:type="continuationSeparator" w:id="0">
    <w:p w14:paraId="40798F16" w14:textId="77777777" w:rsidR="00686E36" w:rsidRDefault="00686E36"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239072A6"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4D4BD2">
          <w:rPr>
            <w:noProof/>
            <w:sz w:val="26"/>
            <w:szCs w:val="26"/>
          </w:rPr>
          <w:t>13</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2"/>
    <w:lvlOverride w:ilvl="0">
      <w:startOverride w:val="2"/>
    </w:lvlOverride>
  </w:num>
  <w:num w:numId="3">
    <w:abstractNumId w:val="23"/>
    <w:lvlOverride w:ilvl="0">
      <w:startOverride w:val="3"/>
    </w:lvlOverride>
  </w:num>
  <w:num w:numId="4">
    <w:abstractNumId w:val="15"/>
    <w:lvlOverride w:ilvl="0">
      <w:startOverride w:val="4"/>
    </w:lvlOverride>
  </w:num>
  <w:num w:numId="5">
    <w:abstractNumId w:val="14"/>
    <w:lvlOverride w:ilvl="0">
      <w:startOverride w:val="5"/>
    </w:lvlOverride>
  </w:num>
  <w:num w:numId="6">
    <w:abstractNumId w:val="27"/>
    <w:lvlOverride w:ilvl="0">
      <w:startOverride w:val="6"/>
    </w:lvlOverride>
  </w:num>
  <w:num w:numId="7">
    <w:abstractNumId w:val="29"/>
    <w:lvlOverride w:ilvl="0">
      <w:startOverride w:val="7"/>
    </w:lvlOverride>
  </w:num>
  <w:num w:numId="8">
    <w:abstractNumId w:val="30"/>
    <w:lvlOverride w:ilvl="0">
      <w:startOverride w:val="8"/>
    </w:lvlOverride>
  </w:num>
  <w:num w:numId="9">
    <w:abstractNumId w:val="28"/>
    <w:lvlOverride w:ilvl="0">
      <w:startOverride w:val="9"/>
    </w:lvlOverride>
  </w:num>
  <w:num w:numId="10">
    <w:abstractNumId w:val="1"/>
  </w:num>
  <w:num w:numId="11">
    <w:abstractNumId w:val="31"/>
  </w:num>
  <w:num w:numId="12">
    <w:abstractNumId w:val="12"/>
  </w:num>
  <w:num w:numId="13">
    <w:abstractNumId w:val="24"/>
  </w:num>
  <w:num w:numId="14">
    <w:abstractNumId w:val="11"/>
  </w:num>
  <w:num w:numId="15">
    <w:abstractNumId w:val="21"/>
  </w:num>
  <w:num w:numId="16">
    <w:abstractNumId w:val="16"/>
  </w:num>
  <w:num w:numId="17">
    <w:abstractNumId w:val="20"/>
  </w:num>
  <w:num w:numId="18">
    <w:abstractNumId w:val="3"/>
  </w:num>
  <w:num w:numId="19">
    <w:abstractNumId w:val="10"/>
  </w:num>
  <w:num w:numId="20">
    <w:abstractNumId w:val="39"/>
  </w:num>
  <w:num w:numId="21">
    <w:abstractNumId w:val="0"/>
  </w:num>
  <w:num w:numId="22">
    <w:abstractNumId w:val="26"/>
  </w:num>
  <w:num w:numId="23">
    <w:abstractNumId w:val="22"/>
  </w:num>
  <w:num w:numId="24">
    <w:abstractNumId w:val="7"/>
  </w:num>
  <w:num w:numId="25">
    <w:abstractNumId w:val="37"/>
  </w:num>
  <w:num w:numId="26">
    <w:abstractNumId w:val="6"/>
  </w:num>
  <w:num w:numId="27">
    <w:abstractNumId w:val="43"/>
  </w:num>
  <w:num w:numId="28">
    <w:abstractNumId w:val="19"/>
  </w:num>
  <w:num w:numId="29">
    <w:abstractNumId w:val="35"/>
  </w:num>
  <w:num w:numId="30">
    <w:abstractNumId w:val="36"/>
  </w:num>
  <w:num w:numId="31">
    <w:abstractNumId w:val="25"/>
  </w:num>
  <w:num w:numId="32">
    <w:abstractNumId w:val="32"/>
  </w:num>
  <w:num w:numId="33">
    <w:abstractNumId w:val="18"/>
  </w:num>
  <w:num w:numId="34">
    <w:abstractNumId w:val="41"/>
  </w:num>
  <w:num w:numId="35">
    <w:abstractNumId w:val="40"/>
  </w:num>
  <w:num w:numId="36">
    <w:abstractNumId w:val="5"/>
  </w:num>
  <w:num w:numId="37">
    <w:abstractNumId w:val="34"/>
  </w:num>
  <w:num w:numId="38">
    <w:abstractNumId w:val="38"/>
  </w:num>
  <w:num w:numId="39">
    <w:abstractNumId w:val="9"/>
  </w:num>
  <w:num w:numId="40">
    <w:abstractNumId w:val="44"/>
  </w:num>
  <w:num w:numId="41">
    <w:abstractNumId w:val="4"/>
  </w:num>
  <w:num w:numId="42">
    <w:abstractNumId w:val="2"/>
  </w:num>
  <w:num w:numId="43">
    <w:abstractNumId w:val="8"/>
  </w:num>
  <w:num w:numId="44">
    <w:abstractNumId w:val="1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123D"/>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53FC7"/>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292C"/>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4BD2"/>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86E3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33B5F"/>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2AD"/>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Lao-dong-Tien-luong/Bo-Luat-lao-dong-2019-333670.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Lao-dong-Tien-luong/Bo-Luat-lao-dong-2019-333670.aspx" TargetMode="External"/><Relationship Id="rId17" Type="http://schemas.openxmlformats.org/officeDocument/2006/relationships/hyperlink" Target="https://thuvienphapluat.vn/van-ban/Doanh-nghiep/Nghi-quyet-02-NQ-CP-2013-giai-phap-thao-go-kho-khan-san-xuat-kinh-doanh-ho-tro-thi-truong-no-xau-163775.aspx" TargetMode="External"/><Relationship Id="rId2" Type="http://schemas.openxmlformats.org/officeDocument/2006/relationships/numbering" Target="numbering.xml"/><Relationship Id="rId16" Type="http://schemas.openxmlformats.org/officeDocument/2006/relationships/hyperlink" Target="https://thuvienphapluat.vn/van-ban/Van-hoa-Xa-hoi/Nghi-quyet-30a-2008-NQ-CP-chuong-trinh-ho-tro-giam-ngheo-nhanh-va-ben-vung-doi-voi-61-huyen-ngheo-83914.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Quyet-dinh-1002-QD-BGTVT-2024-cong-bo-thu-tuc-hanh-chinh-linh-vuc-dang-kiem-621379.aspx" TargetMode="External"/><Relationship Id="rId5" Type="http://schemas.openxmlformats.org/officeDocument/2006/relationships/settings" Target="settings.xml"/><Relationship Id="rId15" Type="http://schemas.openxmlformats.org/officeDocument/2006/relationships/hyperlink" Target="https://thuvienphapluat.vn/van-ban/Bo-may-hanh-chinh/Luat-Phong-thu-dan-su-2023-so-18-2023-QH15-519325.aspx" TargetMode="External"/><Relationship Id="rId10" Type="http://schemas.openxmlformats.org/officeDocument/2006/relationships/hyperlink" Target="https://thuvienphapluat.vn/van-ban/Bo-may-hanh-chinh/Quyet-dinh-1002-QD-BGTVT-2024-cong-bo-thu-tuc-hanh-chinh-linh-vuc-dang-kiem-621379.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Linh-vuc-khac/Luat-Chan-nuoi-2018-353242.aspx" TargetMode="External"/><Relationship Id="rId14" Type="http://schemas.openxmlformats.org/officeDocument/2006/relationships/hyperlink" Target="https://thuvienphapluat.vn/van-ban/Bo-may-hanh-chinh/Luat-quoc-phong-34039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2BD9-097E-4A08-85F8-00227CB0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LAM HỒNG</cp:lastModifiedBy>
  <cp:revision>2</cp:revision>
  <cp:lastPrinted>2024-09-04T01:34:00Z</cp:lastPrinted>
  <dcterms:created xsi:type="dcterms:W3CDTF">2024-10-28T13:29:00Z</dcterms:created>
  <dcterms:modified xsi:type="dcterms:W3CDTF">2024-10-28T13:29:00Z</dcterms:modified>
</cp:coreProperties>
</file>