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7E39D05D" w14:textId="7E69F8D3" w:rsidR="003F763D" w:rsidRPr="000D1428" w:rsidRDefault="000D1428" w:rsidP="000D1428">
            <w:pPr>
              <w:spacing w:before="40" w:after="40" w:line="240" w:lineRule="auto"/>
              <w:jc w:val="center"/>
              <w:rPr>
                <w:rFonts w:ascii="Times New Roman" w:hAnsi="Times New Roman" w:cs="Times New Roman"/>
                <w:b/>
                <w:sz w:val="26"/>
                <w:lang w:val="en-US"/>
              </w:rPr>
            </w:pPr>
            <w:r w:rsidRPr="000D1428">
              <w:rPr>
                <w:rFonts w:ascii="Times New Roman" w:hAnsi="Times New Roman" w:cs="Times New Roman"/>
                <w:b/>
                <w:sz w:val="26"/>
                <w:lang w:val="en-US"/>
              </w:rPr>
              <w:t>ỦY BAN NHÂN DÂN</w:t>
            </w:r>
          </w:p>
          <w:p w14:paraId="2CE23DCF" w14:textId="6FA2FE52" w:rsidR="000D1428" w:rsidRPr="000D1428" w:rsidRDefault="000D1428" w:rsidP="000D1428">
            <w:pPr>
              <w:spacing w:before="40" w:after="40" w:line="240" w:lineRule="auto"/>
              <w:jc w:val="center"/>
              <w:rPr>
                <w:rFonts w:ascii="Times New Roman" w:hAnsi="Times New Roman" w:cs="Times New Roman"/>
                <w:b/>
                <w:sz w:val="26"/>
                <w:lang w:val="en-US"/>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5B038A25">
                      <wp:simplePos x="0" y="0"/>
                      <wp:positionH relativeFrom="column">
                        <wp:posOffset>786765</wp:posOffset>
                      </wp:positionH>
                      <wp:positionV relativeFrom="paragraph">
                        <wp:posOffset>210820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6.6pt" to="10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" strokecolor="black [3040]"/>
                  </w:pict>
                </mc:Fallback>
              </mc:AlternateContent>
            </w:r>
            <w:r w:rsidRPr="000D1428">
              <w:rPr>
                <w:rFonts w:ascii="Times New Roman" w:hAnsi="Times New Roman" w:cs="Times New Roman"/>
                <w:b/>
                <w:sz w:val="26"/>
                <w:lang w:val="en-US"/>
              </w:rPr>
              <w:t>XÃ KỲ THƯỢNG</w:t>
            </w:r>
          </w:p>
          <w:p w14:paraId="0AFB89A8" w14:textId="751632AD" w:rsidR="003F763D" w:rsidRPr="003F763D" w:rsidRDefault="003F763D" w:rsidP="00377A7D">
            <w:pPr>
              <w:spacing w:before="40" w:after="40" w:line="240" w:lineRule="auto"/>
              <w:jc w:val="center"/>
              <w:rPr>
                <w:rFonts w:ascii="Times New Roman" w:hAnsi="Times New Roman" w:cs="Times New Roman"/>
              </w:rPr>
            </w:pP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40B891FA" w14:textId="77777777" w:rsidR="003F763D" w:rsidRPr="003D6B26" w:rsidRDefault="003F763D" w:rsidP="003B6D7D">
      <w:pPr>
        <w:pStyle w:val="NormalWeb"/>
        <w:spacing w:before="40" w:beforeAutospacing="0" w:after="40" w:afterAutospacing="0" w:line="288" w:lineRule="auto"/>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397494D9" w14:textId="31D79F1C" w:rsidR="00075BED" w:rsidRPr="000D1428" w:rsidRDefault="003F763D" w:rsidP="003B6D7D">
      <w:pPr>
        <w:pStyle w:val="NormalWeb"/>
        <w:spacing w:before="40" w:beforeAutospacing="0" w:after="40" w:afterAutospacing="0" w:line="288" w:lineRule="auto"/>
        <w:jc w:val="center"/>
        <w:rPr>
          <w:b/>
          <w:bCs/>
          <w:sz w:val="28"/>
          <w:szCs w:val="28"/>
          <w:bdr w:val="none" w:sz="0" w:space="0" w:color="auto" w:frame="1"/>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D31958">
        <w:rPr>
          <w:rFonts w:ascii="Times New Roman" w:hAnsi="Times New Roman" w:cs="Times New Roman"/>
          <w:b/>
          <w:bCs/>
          <w:color w:val="000000" w:themeColor="text1"/>
          <w:sz w:val="28"/>
          <w:szCs w:val="28"/>
          <w:shd w:val="clear" w:color="auto" w:fill="FFFFFF"/>
          <w:lang w:val="en-US"/>
        </w:rPr>
        <w:t xml:space="preserve"> số</w:t>
      </w:r>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D31958">
        <w:rPr>
          <w:rFonts w:ascii="Times New Roman" w:hAnsi="Times New Roman" w:cs="Times New Roman"/>
          <w:b/>
          <w:bCs/>
          <w:color w:val="000000" w:themeColor="text1"/>
          <w:sz w:val="28"/>
          <w:szCs w:val="28"/>
          <w:shd w:val="clear" w:color="auto" w:fill="FFFFFF"/>
          <w:lang w:val="en-US"/>
        </w:rPr>
        <w:t xml:space="preserve"> ngày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D31958">
        <w:rPr>
          <w:rFonts w:ascii="Times New Roman" w:hAnsi="Times New Roman" w:cs="Times New Roman"/>
          <w:color w:val="000000" w:themeColor="text1"/>
          <w:sz w:val="28"/>
          <w:szCs w:val="28"/>
          <w:lang w:val="en-US"/>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hyperlink r:id="rId9" w:tgtFrame="_blank" w:history="1">
        <w:r w:rsidRPr="00D31958">
          <w:rPr>
            <w:rStyle w:val="Hyperlink"/>
            <w:color w:val="000000" w:themeColor="text1"/>
            <w:sz w:val="28"/>
            <w:szCs w:val="28"/>
            <w:u w:val="none"/>
            <w:lang w:val="vi-VN"/>
          </w:rPr>
          <w:t>Nghị định</w:t>
        </w:r>
        <w:r w:rsidR="00136E63" w:rsidRPr="00D31958">
          <w:rPr>
            <w:rStyle w:val="Hyperlink"/>
            <w:color w:val="000000" w:themeColor="text1"/>
            <w:sz w:val="28"/>
            <w:szCs w:val="28"/>
            <w:u w:val="none"/>
          </w:rPr>
          <w:t xml:space="preserve"> số</w:t>
        </w:r>
        <w:r w:rsidRPr="00D31958">
          <w:rPr>
            <w:rStyle w:val="Hyperlink"/>
            <w:color w:val="000000" w:themeColor="text1"/>
            <w:sz w:val="28"/>
            <w:szCs w:val="28"/>
            <w:u w:val="none"/>
            <w:lang w:val="vi-VN"/>
          </w:rPr>
          <w:t xml:space="preserve"> 29/2024/NĐ-CP</w:t>
        </w:r>
      </w:hyperlink>
      <w:r w:rsidR="00F8273C" w:rsidRPr="00D31958">
        <w:rPr>
          <w:rStyle w:val="Hyperlink"/>
          <w:color w:val="000000" w:themeColor="text1"/>
          <w:sz w:val="28"/>
          <w:szCs w:val="28"/>
          <w:u w:val="none"/>
        </w:rPr>
        <w:t xml:space="preserve"> ngày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D31958">
        <w:rPr>
          <w:color w:val="000000" w:themeColor="text1"/>
          <w:sz w:val="28"/>
          <w:szCs w:val="28"/>
        </w:rPr>
        <w:t xml:space="preserve"> số</w:t>
      </w:r>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D31958"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rPr>
      </w:pPr>
      <w:r w:rsidRPr="00D31958">
        <w:rPr>
          <w:b/>
          <w:bCs/>
          <w:color w:val="000000" w:themeColor="text1"/>
          <w:sz w:val="28"/>
          <w:szCs w:val="28"/>
          <w:lang w:val="vi-VN"/>
        </w:rPr>
        <w:lastRenderedPageBreak/>
        <w:tab/>
        <w:t>2.</w:t>
      </w:r>
      <w:r w:rsidR="009D60FF" w:rsidRPr="00D31958">
        <w:rPr>
          <w:b/>
          <w:bCs/>
          <w:color w:val="000000" w:themeColor="text1"/>
          <w:sz w:val="28"/>
          <w:szCs w:val="28"/>
          <w:shd w:val="clear" w:color="auto" w:fill="FFFFFF"/>
          <w:lang w:val="vi-VN"/>
        </w:rPr>
        <w:t xml:space="preserve">Nghị định </w:t>
      </w:r>
      <w:r w:rsidR="00F8273C" w:rsidRPr="00D31958">
        <w:rPr>
          <w:b/>
          <w:bCs/>
          <w:color w:val="000000" w:themeColor="text1"/>
          <w:sz w:val="28"/>
          <w:szCs w:val="28"/>
          <w:shd w:val="clear" w:color="auto" w:fill="FFFFFF"/>
        </w:rPr>
        <w:t xml:space="preserve">số </w:t>
      </w:r>
      <w:r w:rsidR="009D60FF" w:rsidRPr="00D31958">
        <w:rPr>
          <w:b/>
          <w:bCs/>
          <w:color w:val="000000" w:themeColor="text1"/>
          <w:sz w:val="28"/>
          <w:szCs w:val="28"/>
          <w:shd w:val="clear" w:color="auto" w:fill="FFFFFF"/>
          <w:lang w:val="vi-VN"/>
        </w:rPr>
        <w:t>34/2024/NĐ-CP</w:t>
      </w:r>
      <w:r w:rsidR="00F8273C" w:rsidRPr="00D31958">
        <w:rPr>
          <w:b/>
          <w:bCs/>
          <w:color w:val="000000" w:themeColor="text1"/>
          <w:sz w:val="28"/>
          <w:szCs w:val="28"/>
          <w:shd w:val="clear" w:color="auto" w:fill="FFFFFF"/>
        </w:rPr>
        <w:t xml:space="preserve"> ngày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D31958">
        <w:rPr>
          <w:b/>
          <w:bCs/>
          <w:color w:val="000000" w:themeColor="text1"/>
          <w:sz w:val="28"/>
          <w:szCs w:val="28"/>
          <w:shd w:val="clear" w:color="auto" w:fill="FFFFFF"/>
        </w:rPr>
        <w:t>.</w:t>
      </w:r>
    </w:p>
    <w:p w14:paraId="115AFE64" w14:textId="5CB3EC9F"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đó,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hyperlink r:id="rId10" w:history="1">
        <w:r w:rsidR="009D60FF" w:rsidRPr="00D31958">
          <w:rPr>
            <w:rStyle w:val="Hyperlink"/>
            <w:color w:val="000000" w:themeColor="text1"/>
            <w:sz w:val="28"/>
            <w:szCs w:val="28"/>
            <w:u w:val="none"/>
            <w:lang w:val="vi-VN"/>
          </w:rPr>
          <w:t>Nghị định 34/2024/NĐ-CP</w:t>
        </w:r>
      </w:hyperlink>
      <w:r w:rsidR="00136E63" w:rsidRPr="00D31958">
        <w:rPr>
          <w:color w:val="000000" w:themeColor="text1"/>
          <w:sz w:val="28"/>
          <w:szCs w:val="28"/>
        </w:rPr>
        <w:t>. Cụ thể như sau:</w:t>
      </w:r>
    </w:p>
    <w:p w14:paraId="38E5C10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1: Chất nổ và vật phẩm dễ nổ</w:t>
      </w:r>
    </w:p>
    <w:p w14:paraId="588538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2: Khí gồm khí dễ cháy, khí độc hại…</w:t>
      </w:r>
    </w:p>
    <w:p w14:paraId="4A6C2F6A"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3: Chất lỏng dễ cháy, chất nổ lỏng khử nhạy</w:t>
      </w:r>
    </w:p>
    <w:p w14:paraId="1ABEB338"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4: Chất rắn dễ cháy, chất khi tiếp xúc với nước tạo ra khí dễ cháy…</w:t>
      </w:r>
    </w:p>
    <w:p w14:paraId="3A24D5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5: Chất ô xi hóa, perôxit hữu cơ</w:t>
      </w:r>
    </w:p>
    <w:p w14:paraId="1F1578C9"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6: Chất độc, chất gây nhiễm bệnh</w:t>
      </w:r>
    </w:p>
    <w:p w14:paraId="21085453"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7: Chất phóng xạ</w:t>
      </w:r>
    </w:p>
    <w:p w14:paraId="02AF15FD"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8: Chất ăn mòn</w:t>
      </w:r>
    </w:p>
    <w:p w14:paraId="115B73A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r w:rsidR="009D60FF" w:rsidRPr="00D31958">
        <w:rPr>
          <w:color w:val="000000" w:themeColor="text1"/>
          <w:sz w:val="28"/>
          <w:szCs w:val="28"/>
        </w:rPr>
        <w:t>Loại 9: Chất và vật phẩm nguy hiểm khác</w:t>
      </w:r>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rStyle w:val="Strong"/>
          <w:b w:val="0"/>
          <w:i/>
          <w:color w:val="000000" w:themeColor="text1"/>
          <w:sz w:val="28"/>
          <w:szCs w:val="28"/>
        </w:rPr>
        <w:t>Lưu ý:</w:t>
      </w:r>
      <w:r w:rsidRPr="00D31958">
        <w:rPr>
          <w:color w:val="000000" w:themeColor="text1"/>
          <w:sz w:val="28"/>
          <w:szCs w:val="28"/>
        </w:rPr>
        <w:t> Với các bao bì, thùng chứa hàng hóa nguy hiểm nhưng chưa được làm sạch bên trong và bên ngoài sau khi dỡ hết hàng hóa nguy hiểm cũng được coi là hàng hóa nguy hiểm tương ứng.</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color w:val="000000" w:themeColor="text1"/>
          <w:sz w:val="28"/>
          <w:szCs w:val="28"/>
        </w:rPr>
        <w:t>3.</w:t>
      </w:r>
      <w:hyperlink r:id="rId11" w:history="1">
        <w:r w:rsidR="00D00E21" w:rsidRPr="00D31958">
          <w:rPr>
            <w:rStyle w:val="Hyperlink"/>
            <w:rFonts w:ascii="Times New Roman" w:hAnsi="Times New Roman" w:cs="Times New Roman"/>
            <w:b/>
            <w:color w:val="000000" w:themeColor="text1"/>
            <w:sz w:val="28"/>
            <w:szCs w:val="28"/>
            <w:u w:val="none"/>
          </w:rPr>
          <w:t xml:space="preserve">Nghị định </w:t>
        </w:r>
        <w:r w:rsidR="00F8273C" w:rsidRPr="00D31958">
          <w:rPr>
            <w:rStyle w:val="Hyperlink"/>
            <w:rFonts w:ascii="Times New Roman" w:hAnsi="Times New Roman" w:cs="Times New Roman"/>
            <w:b/>
            <w:color w:val="000000" w:themeColor="text1"/>
            <w:sz w:val="28"/>
            <w:szCs w:val="28"/>
            <w:u w:val="none"/>
            <w:lang w:val="en-US"/>
          </w:rPr>
          <w:t xml:space="preserve">số </w:t>
        </w:r>
        <w:r w:rsidR="00D00E21" w:rsidRPr="00D31958">
          <w:rPr>
            <w:rStyle w:val="Hyperlink"/>
            <w:rFonts w:ascii="Times New Roman" w:hAnsi="Times New Roman" w:cs="Times New Roman"/>
            <w:b/>
            <w:color w:val="000000" w:themeColor="text1"/>
            <w:sz w:val="28"/>
            <w:szCs w:val="28"/>
            <w:u w:val="none"/>
          </w:rPr>
          <w:t>35/2024/NĐ-CP</w:t>
        </w:r>
        <w:r w:rsidR="00F8273C" w:rsidRPr="00D31958">
          <w:rPr>
            <w:rStyle w:val="Hyperlink"/>
            <w:rFonts w:ascii="Times New Roman" w:hAnsi="Times New Roman" w:cs="Times New Roman"/>
            <w:b/>
            <w:color w:val="000000" w:themeColor="text1"/>
            <w:sz w:val="28"/>
            <w:szCs w:val="28"/>
            <w:u w:val="none"/>
            <w:lang w:val="en-US"/>
          </w:rPr>
          <w:t xml:space="preserve"> ngày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hyperlink>
      <w:r w:rsidR="00F8273C" w:rsidRPr="00D31958">
        <w:rPr>
          <w:rFonts w:ascii="Times New Roman" w:hAnsi="Times New Roman" w:cs="Times New Roman"/>
          <w:color w:val="000000" w:themeColor="text1"/>
          <w:sz w:val="28"/>
          <w:szCs w:val="28"/>
          <w:lang w:val="en-US"/>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đó, </w:t>
      </w:r>
      <w:r w:rsidR="00D00E21" w:rsidRPr="00D31958">
        <w:rPr>
          <w:color w:val="000000" w:themeColor="text1"/>
          <w:sz w:val="28"/>
          <w:szCs w:val="28"/>
          <w:lang w:val="vi-VN"/>
        </w:rPr>
        <w:t>Đối tượng áp dụng </w:t>
      </w:r>
      <w:hyperlink r:id="rId12" w:tgtFrame="_blank" w:history="1">
        <w:r w:rsidR="00D00E21" w:rsidRPr="00D31958">
          <w:rPr>
            <w:rStyle w:val="Hyperlink"/>
            <w:color w:val="000000" w:themeColor="text1"/>
            <w:sz w:val="28"/>
            <w:szCs w:val="28"/>
            <w:u w:val="none"/>
            <w:lang w:val="vi-VN"/>
          </w:rPr>
          <w:t>Nghị định 35/2024/NĐ-CP</w:t>
        </w:r>
      </w:hyperlink>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D31958" w:rsidRDefault="003F763D" w:rsidP="00136E63">
      <w:pPr>
        <w:spacing w:after="0"/>
        <w:ind w:firstLine="567"/>
        <w:jc w:val="both"/>
        <w:rPr>
          <w:rFonts w:ascii="Times New Roman" w:hAnsi="Times New Roman" w:cs="Times New Roman"/>
          <w:b/>
          <w:color w:val="000000" w:themeColor="text1"/>
          <w:sz w:val="28"/>
          <w:szCs w:val="28"/>
          <w:shd w:val="clear" w:color="auto" w:fill="F9F9F9"/>
          <w:lang w:val="en-US"/>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D31958">
        <w:rPr>
          <w:rFonts w:ascii="Times New Roman" w:hAnsi="Times New Roman" w:cs="Times New Roman"/>
          <w:b/>
          <w:color w:val="000000" w:themeColor="text1"/>
          <w:sz w:val="28"/>
          <w:szCs w:val="28"/>
          <w:shd w:val="clear" w:color="auto" w:fill="F9F9F9"/>
          <w:lang w:val="en-US"/>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D31958" w:rsidRDefault="0057290B"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lang w:val="en-US"/>
        </w:rPr>
        <w:t>Quyết định</w:t>
      </w:r>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D31958" w:rsidRDefault="003F763D"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D31958">
        <w:rPr>
          <w:rFonts w:ascii="Times New Roman" w:hAnsi="Times New Roman" w:cs="Times New Roman"/>
          <w:b/>
          <w:color w:val="000000" w:themeColor="text1"/>
          <w:sz w:val="28"/>
          <w:szCs w:val="28"/>
          <w:lang w:val="en-US"/>
        </w:rPr>
        <w:t xml:space="preserve"> số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D31958">
        <w:rPr>
          <w:rFonts w:ascii="Times New Roman" w:hAnsi="Times New Roman" w:cs="Times New Roman"/>
          <w:b/>
          <w:color w:val="000000" w:themeColor="text1"/>
          <w:sz w:val="28"/>
          <w:szCs w:val="28"/>
          <w:lang w:val="en-US"/>
        </w:rPr>
        <w:t xml:space="preserve"> số</w:t>
      </w:r>
      <w:r w:rsidR="00136E63" w:rsidRPr="00D31958">
        <w:rPr>
          <w:rFonts w:ascii="Times New Roman" w:hAnsi="Times New Roman" w:cs="Times New Roman"/>
          <w:b/>
          <w:color w:val="000000" w:themeColor="text1"/>
          <w:sz w:val="28"/>
          <w:szCs w:val="28"/>
        </w:rPr>
        <w:t xml:space="preserve"> 21/2021/TT-BLĐTBXH ngày</w:t>
      </w:r>
      <w:r w:rsidR="00136E63" w:rsidRPr="00D31958">
        <w:rPr>
          <w:rFonts w:ascii="Times New Roman" w:hAnsi="Times New Roman" w:cs="Times New Roman"/>
          <w:b/>
          <w:color w:val="000000" w:themeColor="text1"/>
          <w:sz w:val="28"/>
          <w:szCs w:val="28"/>
          <w:lang w:val="en-US"/>
        </w:rPr>
        <w:t xml:space="preserve"> </w:t>
      </w:r>
      <w:r w:rsidR="00136E63" w:rsidRPr="00D31958">
        <w:rPr>
          <w:rFonts w:ascii="Times New Roman" w:hAnsi="Times New Roman" w:cs="Times New Roman"/>
          <w:b/>
          <w:color w:val="000000" w:themeColor="text1"/>
          <w:sz w:val="28"/>
          <w:szCs w:val="28"/>
        </w:rPr>
        <w:t>15/12/2021</w:t>
      </w:r>
      <w:r w:rsidR="00136E63"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D31958">
        <w:rPr>
          <w:rFonts w:ascii="Times New Roman" w:hAnsi="Times New Roman" w:cs="Times New Roman"/>
          <w:b/>
          <w:color w:val="000000" w:themeColor="text1"/>
          <w:sz w:val="28"/>
          <w:szCs w:val="28"/>
          <w:lang w:val="en-US"/>
        </w:rPr>
        <w:t>.</w:t>
      </w:r>
    </w:p>
    <w:p w14:paraId="251F923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nếu hợp đồng đã được ký kết và người lao động đã xuất cảnh trước ngày 15/5/2024 thì tiếp tục thực hiện cho đến khi hết hạn hợp đồng. Với hợp đồng mà người lao động chưa xuất cảnh trước ngày này mà có nội dung trái quy định của Thông tư 02 này thì phải sửa đổi, bổ sung hoặc ký kết mới.</w:t>
      </w:r>
    </w:p>
    <w:p w14:paraId="4B018F2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D31958"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15/4/2024</w:t>
      </w:r>
    </w:p>
    <w:p w14:paraId="08AEB73A" w14:textId="705428B9" w:rsidR="00381F81" w:rsidRPr="00D31958"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rPr>
      </w:pPr>
      <w:r w:rsidRPr="00D31958">
        <w:rPr>
          <w:b/>
          <w:color w:val="000000" w:themeColor="text1"/>
          <w:sz w:val="28"/>
          <w:szCs w:val="28"/>
        </w:rPr>
        <w:t>7.</w:t>
      </w:r>
      <w:r w:rsidR="00F66F7A" w:rsidRPr="00D31958">
        <w:rPr>
          <w:b/>
          <w:color w:val="000000" w:themeColor="text1"/>
          <w:sz w:val="28"/>
          <w:szCs w:val="28"/>
        </w:rPr>
        <w:t>Thông tư số 02/2024/TT-TTCP ngày 20/03/2024 của Thanh tra Chính phủ quy định xét tặng Kỷ niệm chương "Vì sự nghiệp Thanh tra"</w:t>
      </w:r>
      <w:r w:rsidR="00136E63" w:rsidRPr="00D31958">
        <w:rPr>
          <w:b/>
          <w:color w:val="000000" w:themeColor="text1"/>
          <w:sz w:val="28"/>
          <w:szCs w:val="28"/>
        </w:rPr>
        <w:t>.</w:t>
      </w:r>
    </w:p>
    <w:p w14:paraId="293CDD1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Theo đó, tại Điều 6 </w:t>
      </w:r>
      <w:hyperlink r:id="rId13"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 quy định về điều kiện xét tặng Kỷ niệm chương “Vì sự nghiệp thanh tra” như sau:</w:t>
      </w:r>
    </w:p>
    <w:p w14:paraId="1EFA2C99"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là lãnh đạo Thanh tra Chính phủ có thời gian giữ chức vụ từ đủ 04 năm trở lên tính đến ngày 01/9 của năm đề nghị xét tặng.</w:t>
      </w:r>
    </w:p>
    <w:p w14:paraId="7E8DA55F"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công tác trong các cơ quan thanh tra có thời gian công tác liên tục từ đủ 10 năm trở lên tính đến ngày 01/9 của năm đề nghị xét tặng.</w:t>
      </w:r>
    </w:p>
    <w:p w14:paraId="1B0E2BC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Người được giao thực hiện nhiệm vụ thanh tra chuyên ngành có thời gian làm công tác thanh tra liên tục từ đủ 20 năm trở lên tính đến ngày 01/9 của năm đề nghị xét tặng.</w:t>
      </w:r>
    </w:p>
    <w:p w14:paraId="09B1DA98"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khoản 2 Điều 4 </w:t>
      </w:r>
      <w:hyperlink r:id="rId14" w:tgtFrame="_blank" w:history="1">
        <w:r w:rsidRPr="00D31958">
          <w:rPr>
            <w:rStyle w:val="Hyperlink"/>
            <w:color w:val="000000" w:themeColor="text1"/>
            <w:sz w:val="28"/>
            <w:szCs w:val="28"/>
            <w:u w:val="none"/>
          </w:rPr>
          <w:t>Thông tư 02/2024/TT-TTCP</w:t>
        </w:r>
      </w:hyperlink>
      <w:r w:rsidRPr="00D31958">
        <w:rPr>
          <w:color w:val="000000" w:themeColor="text1"/>
          <w:sz w:val="28"/>
          <w:szCs w:val="28"/>
        </w:rPr>
        <w:t>:</w:t>
      </w:r>
    </w:p>
    <w:p w14:paraId="071BAB46"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Lãnh đạo Đảng, Nhà nước có đóng góp trong quá trình xây dựng và phát triển ngành Thanh tra;</w:t>
      </w:r>
    </w:p>
    <w:p w14:paraId="4B865CCB"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điểm b, điểm c, điểm d phải có thời gian giữ chức vụ ít nhất từ đủ 05 năm trở lên và có ít nhất 04 năm phụ trách hoặc theo dõi công tác thanh tra;</w:t>
      </w:r>
    </w:p>
    <w:p w14:paraId="4B73CDAC" w14:textId="0D3A7BF1"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Cá nhân thuộc đối tượng quy định tại các điểm đ, điểm e, điểm g phải có thời gian giữ chức vụ ít nhất từ đủ 10 năm trở lên và có ít nhất 08 năm phụ trách hoặc theo dõi công tác thanh tra.</w:t>
      </w:r>
    </w:p>
    <w:p w14:paraId="17B19768" w14:textId="5770F300" w:rsidR="00136E63" w:rsidRPr="00D31958"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Thông tư này có hiệu lực từ ngày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
          <w:color w:val="000000" w:themeColor="text1"/>
          <w:sz w:val="28"/>
          <w:szCs w:val="28"/>
        </w:rPr>
        <w:t>8</w:t>
      </w:r>
      <w:r w:rsidR="003D7853" w:rsidRPr="00D31958">
        <w:rPr>
          <w:b/>
          <w:color w:val="000000" w:themeColor="text1"/>
          <w:sz w:val="28"/>
          <w:szCs w:val="28"/>
        </w:rPr>
        <w:t>.</w:t>
      </w:r>
      <w:r w:rsidR="00B40EAB" w:rsidRPr="00D31958">
        <w:rPr>
          <w:b/>
          <w:color w:val="000000" w:themeColor="text1"/>
          <w:sz w:val="28"/>
          <w:szCs w:val="28"/>
        </w:rPr>
        <w:t>Thông tư</w:t>
      </w:r>
      <w:r w:rsidR="0057290B" w:rsidRPr="00D31958">
        <w:rPr>
          <w:b/>
          <w:color w:val="000000" w:themeColor="text1"/>
          <w:sz w:val="28"/>
          <w:szCs w:val="28"/>
        </w:rPr>
        <w:t xml:space="preserve"> số</w:t>
      </w:r>
      <w:r w:rsidR="00B40EAB" w:rsidRPr="00D31958">
        <w:rPr>
          <w:b/>
          <w:color w:val="000000" w:themeColor="text1"/>
          <w:sz w:val="28"/>
          <w:szCs w:val="28"/>
        </w:rPr>
        <w:t xml:space="preserve"> 04/2024/TT-TTCP</w:t>
      </w:r>
      <w:r w:rsidR="0057290B" w:rsidRPr="00D31958">
        <w:rPr>
          <w:b/>
          <w:color w:val="000000" w:themeColor="text1"/>
          <w:sz w:val="28"/>
          <w:szCs w:val="28"/>
        </w:rPr>
        <w:t xml:space="preserve"> ngày 08/04/2024</w:t>
      </w:r>
      <w:r w:rsidR="00B40EAB" w:rsidRPr="00D31958">
        <w:rPr>
          <w:b/>
          <w:color w:val="000000" w:themeColor="text1"/>
          <w:sz w:val="28"/>
          <w:szCs w:val="28"/>
        </w:rPr>
        <w:t xml:space="preserve"> của Thanh tra Chính phủ quy định việc xây dựng, phê duyệt Định hướng chương trình thanh tra và ban hành kế hoạch thanh tra</w:t>
      </w:r>
      <w:r w:rsidR="00136E63" w:rsidRPr="00D31958">
        <w:rPr>
          <w:b/>
          <w:color w:val="000000" w:themeColor="text1"/>
          <w:sz w:val="28"/>
          <w:szCs w:val="28"/>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5"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 Căn cứ khác theo quy định của pháp luật.</w:t>
      </w:r>
    </w:p>
    <w:p w14:paraId="05A2291F" w14:textId="74874ED7" w:rsidR="00E91E35" w:rsidRPr="00AE4F3B" w:rsidRDefault="00B40EAB" w:rsidP="00AE4F3B">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30/5/2024</w:t>
      </w:r>
      <w:r w:rsidR="00136E63" w:rsidRPr="00D31958">
        <w:rPr>
          <w:color w:val="000000" w:themeColor="text1"/>
          <w:sz w:val="28"/>
          <w:szCs w:val="28"/>
        </w:rPr>
        <w:t>.</w:t>
      </w:r>
      <w:bookmarkStart w:id="0" w:name="_GoBack"/>
      <w:bookmarkEnd w:id="0"/>
    </w:p>
    <w:p w14:paraId="41F48C9D" w14:textId="3EBD0576" w:rsidR="003F763D" w:rsidRPr="00AE4F3B" w:rsidRDefault="00AE4F3B" w:rsidP="00AE4F3B">
      <w:pPr>
        <w:spacing w:after="0"/>
        <w:jc w:val="right"/>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ỦY BAN NHÂN DÂN XÃ KỲ THƯỢNG</w:t>
      </w:r>
    </w:p>
    <w:p w14:paraId="5DC3359B"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24EC5B98"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1A82995B" w14:textId="77777777" w:rsidR="003F763D" w:rsidRPr="00D31958" w:rsidRDefault="003F763D" w:rsidP="00136E63">
      <w:pPr>
        <w:tabs>
          <w:tab w:val="left" w:pos="2025"/>
        </w:tabs>
        <w:spacing w:after="0"/>
        <w:jc w:val="both"/>
        <w:rPr>
          <w:rFonts w:ascii="Times New Roman" w:hAnsi="Times New Roman" w:cs="Times New Roman"/>
          <w:color w:val="000000" w:themeColor="text1"/>
          <w:sz w:val="28"/>
          <w:szCs w:val="28"/>
          <w:lang w:val="en-US"/>
        </w:rPr>
      </w:pPr>
    </w:p>
    <w:p w14:paraId="1F42084F" w14:textId="77777777" w:rsidR="00E61AF0" w:rsidRPr="00F66F7A" w:rsidRDefault="00E61AF0" w:rsidP="00F66F7A">
      <w:pPr>
        <w:jc w:val="both"/>
        <w:rPr>
          <w:rFonts w:ascii="Times New Roman" w:hAnsi="Times New Roman" w:cs="Times New Roman"/>
          <w:sz w:val="28"/>
          <w:szCs w:val="28"/>
          <w:lang w:val="en-US"/>
        </w:rPr>
        <w:sectPr w:rsidR="00E61AF0" w:rsidRPr="00F66F7A" w:rsidSect="008B5F10">
          <w:headerReference w:type="default" r:id="rId16"/>
          <w:pgSz w:w="11906" w:h="16838"/>
          <w:pgMar w:top="1134" w:right="1134" w:bottom="1134" w:left="1701" w:header="720" w:footer="720" w:gutter="0"/>
          <w:cols w:space="720"/>
          <w:docGrid w:linePitch="360"/>
        </w:sectPr>
      </w:pPr>
    </w:p>
    <w:p w14:paraId="434586C8" w14:textId="77777777" w:rsidR="00075BED" w:rsidRPr="00F66F7A" w:rsidRDefault="00075BED" w:rsidP="00F66F7A">
      <w:pPr>
        <w:spacing w:after="60"/>
        <w:jc w:val="both"/>
        <w:rPr>
          <w:rFonts w:ascii="Times New Roman" w:hAnsi="Times New Roman" w:cs="Times New Roman"/>
          <w:sz w:val="28"/>
          <w:szCs w:val="28"/>
          <w:lang w:val="en-US"/>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2A8AB" w14:textId="77777777" w:rsidR="00BA5885" w:rsidRDefault="00BA5885" w:rsidP="007137D4">
      <w:pPr>
        <w:spacing w:after="0" w:line="240" w:lineRule="auto"/>
      </w:pPr>
      <w:r>
        <w:separator/>
      </w:r>
    </w:p>
  </w:endnote>
  <w:endnote w:type="continuationSeparator" w:id="0">
    <w:p w14:paraId="5A298A28" w14:textId="77777777" w:rsidR="00BA5885" w:rsidRDefault="00BA5885"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EB12E" w14:textId="77777777" w:rsidR="00BA5885" w:rsidRDefault="00BA5885" w:rsidP="007137D4">
      <w:pPr>
        <w:spacing w:after="0" w:line="240" w:lineRule="auto"/>
      </w:pPr>
      <w:r>
        <w:separator/>
      </w:r>
    </w:p>
  </w:footnote>
  <w:footnote w:type="continuationSeparator" w:id="0">
    <w:p w14:paraId="1AD2BF17" w14:textId="77777777" w:rsidR="00BA5885" w:rsidRDefault="00BA5885"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AE4F3B">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6"/>
  </w:num>
  <w:num w:numId="21">
    <w:abstractNumId w:val="0"/>
  </w:num>
  <w:num w:numId="22">
    <w:abstractNumId w:val="18"/>
  </w:num>
  <w:num w:numId="23">
    <w:abstractNumId w:val="15"/>
  </w:num>
  <w:num w:numId="24">
    <w:abstractNumId w:val="4"/>
  </w:num>
  <w:num w:numId="25">
    <w:abstractNumId w:val="25"/>
  </w:num>
  <w:num w:numId="26">
    <w:abstractNumId w:val="3"/>
  </w:num>
  <w:num w:numId="27">
    <w:abstractNumId w:val="28"/>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142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23D7"/>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B6D7D"/>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E4F3B"/>
    <w:rsid w:val="00AF3F39"/>
    <w:rsid w:val="00B3079B"/>
    <w:rsid w:val="00B40EAB"/>
    <w:rsid w:val="00B51CE9"/>
    <w:rsid w:val="00B574AB"/>
    <w:rsid w:val="00B66DE3"/>
    <w:rsid w:val="00B84235"/>
    <w:rsid w:val="00B9232C"/>
    <w:rsid w:val="00BA14EB"/>
    <w:rsid w:val="00BA5885"/>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Thong-tu-02-2024-TT-TTCP-xet-tang-Ky-niem-chuong-Vi-su-nghiep-Thanh-tra-604986.aspx?anchor=dieu_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35-2024-ND-CP-xet-tang-danh-hieu-Nha-giao-nhan-dan-Nha-giao-uu-tu-605141.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giao-duc/nghi-dinh-35-2024-nd-cp-quy-dinh-xet-tang-danh-hieu-nha-giao-nhan-dan-nha-giao-uu-tu-310217-d1.html" TargetMode="External"/><Relationship Id="rId5" Type="http://schemas.openxmlformats.org/officeDocument/2006/relationships/settings" Target="settings.xml"/><Relationship Id="rId15" Type="http://schemas.openxmlformats.org/officeDocument/2006/relationships/hyperlink" Target="https://thuvienphapluat.vn/van-ban/Bo-may-hanh-chinh/Thong-tu-04-2024-TT-TTCP-xay-dung-phe-duyet-Dinh-huong-chuong-trinh-thanh-tra-366844.aspx" TargetMode="External"/><Relationship Id="rId10" Type="http://schemas.openxmlformats.org/officeDocument/2006/relationships/hyperlink" Target="https://luatvietnam.vn/giao-thong/nghi-dinh-34-2024-nd-cp-danh-muc-van-chuyen-hang-hoa-nguy-hiem-bang-phuong-tien-giao-thong-co-gioi-309573-d1.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Bo-may-hanh-chinh/Nghi-dinh-29-2024-ND-CP-tieu-chuan-chuc-danh-lanh-dao-quan-ly-trong-co-quan-hanh-chinh-nha-nuoc-326382.aspx?anchor=muc_1_2" TargetMode="External"/><Relationship Id="rId14" Type="http://schemas.openxmlformats.org/officeDocument/2006/relationships/hyperlink" Target="https://thuvienphapluat.vn/van-ban/Bo-may-hanh-chinh/Thong-tu-02-2024-TT-TTCP-xet-tang-Ky-niem-chuong-Vi-su-nghiep-Thanh-tra-604986.aspx?anchor=dieu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AB7E-D830-409E-98C0-E2BBF1D0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2024-01-31T07:08:00Z</cp:lastPrinted>
  <dcterms:created xsi:type="dcterms:W3CDTF">2024-05-02T07:09:00Z</dcterms:created>
  <dcterms:modified xsi:type="dcterms:W3CDTF">2024-05-02T07:09:00Z</dcterms:modified>
</cp:coreProperties>
</file>