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36351AD5" w14:textId="183C97B8" w:rsidR="003F763D" w:rsidRPr="00733B5F" w:rsidRDefault="00733B5F" w:rsidP="00377A7D">
            <w:pPr>
              <w:spacing w:before="40" w:after="40" w:line="240" w:lineRule="auto"/>
              <w:jc w:val="center"/>
              <w:rPr>
                <w:rFonts w:ascii="Times New Roman" w:hAnsi="Times New Roman" w:cs="Times New Roman"/>
                <w:b/>
                <w:sz w:val="26"/>
                <w:lang w:val="en-US"/>
              </w:rPr>
            </w:pPr>
            <w:r w:rsidRPr="00733B5F">
              <w:rPr>
                <w:rFonts w:ascii="Times New Roman" w:hAnsi="Times New Roman" w:cs="Times New Roman"/>
                <w:b/>
                <w:sz w:val="26"/>
                <w:lang w:val="en-US"/>
              </w:rPr>
              <w:t>ỦY BAN NHÂN DÂN</w:t>
            </w:r>
          </w:p>
          <w:p w14:paraId="0AFB89A8" w14:textId="604AEC3D" w:rsidR="00733B5F" w:rsidRPr="0044292C" w:rsidRDefault="00733B5F" w:rsidP="00377A7D">
            <w:pPr>
              <w:spacing w:before="40" w:after="40" w:line="240" w:lineRule="auto"/>
              <w:jc w:val="center"/>
              <w:rPr>
                <w:rFonts w:ascii="Times New Roman" w:hAnsi="Times New Roman" w:cs="Times New Roman"/>
              </w:rPr>
            </w:pPr>
            <w:r w:rsidRPr="00733B5F">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7522B57E">
                      <wp:simplePos x="0" y="0"/>
                      <wp:positionH relativeFrom="column">
                        <wp:posOffset>796290</wp:posOffset>
                      </wp:positionH>
                      <wp:positionV relativeFrom="paragraph">
                        <wp:posOffset>202565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E36689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95pt" to="110.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" strokecolor="black [3040]"/>
                  </w:pict>
                </mc:Fallback>
              </mc:AlternateContent>
            </w:r>
            <w:r w:rsidRPr="00733B5F">
              <w:rPr>
                <w:rFonts w:ascii="Times New Roman" w:hAnsi="Times New Roman" w:cs="Times New Roman"/>
                <w:b/>
                <w:sz w:val="26"/>
                <w:lang w:val="en-US"/>
              </w:rPr>
              <w:t>XÃ KỲ TH</w:t>
            </w:r>
            <w:r w:rsidR="0044292C">
              <w:rPr>
                <w:rFonts w:ascii="Times New Roman" w:hAnsi="Times New Roman" w:cs="Times New Roman"/>
                <w:b/>
                <w:sz w:val="26"/>
              </w:rPr>
              <w:t>ƯỢNG</w: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bookmarkStart w:id="0" w:name="_GoBack"/>
      <w:bookmarkEnd w:id="0"/>
    </w:p>
    <w:p w14:paraId="03C50C46" w14:textId="6395F0E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B11C82">
        <w:rPr>
          <w:b/>
          <w:bCs/>
          <w:sz w:val="28"/>
          <w:szCs w:val="28"/>
          <w:bdr w:val="none" w:sz="0" w:space="0" w:color="auto" w:frame="1"/>
          <w:lang w:val="vi-VN"/>
        </w:rPr>
        <w:t>09</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0C2289C"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B11C82">
        <w:rPr>
          <w:rFonts w:ascii="Times New Roman" w:hAnsi="Times New Roman" w:cs="Times New Roman"/>
          <w:sz w:val="28"/>
          <w:szCs w:val="28"/>
        </w:rPr>
        <w:t>9</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B11C82">
        <w:rPr>
          <w:rFonts w:ascii="Times New Roman" w:hAnsi="Times New Roman" w:cs="Times New Roman"/>
          <w:sz w:val="28"/>
          <w:szCs w:val="28"/>
        </w:rPr>
        <w:t>03</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B11C82">
        <w:rPr>
          <w:rFonts w:ascii="Times New Roman" w:hAnsi="Times New Roman" w:cs="Times New Roman"/>
          <w:sz w:val="28"/>
          <w:szCs w:val="28"/>
        </w:rPr>
        <w:t>25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0BEA7112"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39F2F0B1"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38088F64"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3B71C80B"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7142A3C"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7BA50A4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05880E67"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4F9D3958"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lastRenderedPageBreak/>
        <w:t>Số lượng cấp phó của người đứng đầu vụ, cục, thanh tra, văn phòng thuộc tổng cục thuộc bộ</w:t>
      </w:r>
    </w:p>
    <w:p w14:paraId="5DADBA1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Bên cạnh đó, số lượng cấp phó của người đứng đầu vụ, cục, thanh tra, văn phòng thuộc tổng cục thuộc bộ từ ngày 01/9/2024 được quy định như sau:</w:t>
      </w:r>
    </w:p>
    <w:p w14:paraId="6CC8C50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cục (trừ cục đặt tại địa phương), thanh tra, văn phòng thuộc tổng cục có dưới 04 tổ chức được bố trí không quá 02 cấp phó;</w:t>
      </w:r>
    </w:p>
    <w:p w14:paraId="6D3B2149"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1078F10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AC31E4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A6CDB2F"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36CEEB39" w14:textId="2E987572"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2E6F1D" w:rsidRPr="002E6F1D">
        <w:rPr>
          <w:rFonts w:ascii="Times New Roman" w:hAnsi="Times New Roman" w:cs="Times New Roman"/>
          <w:sz w:val="28"/>
          <w:szCs w:val="28"/>
        </w:rPr>
        <w:t>01/09/2024</w:t>
      </w:r>
    </w:p>
    <w:p w14:paraId="6BBBB2F5" w14:textId="60B7514A" w:rsidR="008B70C2" w:rsidRPr="00824364" w:rsidRDefault="00824364" w:rsidP="008B70C2">
      <w:pPr>
        <w:spacing w:after="0"/>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2F52D3FA" w14:textId="38BD974C" w:rsidR="00824364" w:rsidRPr="00824364"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w:t>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Thông tin về tên của tổ chức, cá nhân và các thông tin liên quan đến tổ 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Việc trì hoãn giao dịch, phong tỏa tài khoản, tạm ngừng lưu thông, phong tỏa, niêm phong, tạm giữ đối với tiền, tài sản liên quan đến khủng bố, tài trợ khủng bố quy định tại Nghị định 122/2013/NĐ-CP được thực hiện trên nguyên tắc không chậm trễ và không thông báo trước.</w:t>
      </w:r>
    </w:p>
    <w:p w14:paraId="1EB18AFF" w14:textId="77777777" w:rsidR="00343467"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341BC031" w14:textId="1C2E13FC" w:rsidR="009E124D" w:rsidRPr="00343467" w:rsidRDefault="00824364" w:rsidP="00343467">
      <w:pPr>
        <w:spacing w:after="0"/>
        <w:jc w:val="both"/>
        <w:rPr>
          <w:rFonts w:ascii="Times New Roman" w:hAnsi="Times New Roman" w:cs="Times New Roman"/>
          <w:sz w:val="28"/>
          <w:szCs w:val="28"/>
        </w:rPr>
      </w:pPr>
      <w:r>
        <w:rPr>
          <w:rFonts w:ascii="Times New Roman" w:hAnsi="Times New Roman" w:cs="Times New Roman"/>
          <w:sz w:val="28"/>
          <w:szCs w:val="28"/>
        </w:rPr>
        <w:tab/>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42D6D3A4" w14:textId="76610EAF" w:rsidR="009E124D" w:rsidRDefault="00D8464E"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w:t>
      </w:r>
      <w:r w:rsidR="00824364">
        <w:rPr>
          <w:rFonts w:ascii="Times New Roman" w:hAnsi="Times New Roman" w:cs="Times New Roman"/>
          <w:sz w:val="28"/>
          <w:szCs w:val="28"/>
        </w:rPr>
        <w:t>9</w:t>
      </w:r>
      <w:r w:rsidRPr="008B70C2">
        <w:rPr>
          <w:rFonts w:ascii="Times New Roman" w:hAnsi="Times New Roman" w:cs="Times New Roman"/>
          <w:sz w:val="28"/>
          <w:szCs w:val="28"/>
        </w:rPr>
        <w:t>/2024.</w:t>
      </w:r>
    </w:p>
    <w:p w14:paraId="0CF154C2" w14:textId="0BA7931F"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0CFD7AE6"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73607469"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565EDC73"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C0EC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6B10C54E"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7D6E44A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07 triệu đồng/công trình (chăn nuôi nông hộ); 300 triệu đồng/công trình (chăn nuôi trang trại quy mô nhỏ và vừa); 01 tỷ đồng/công trình (chăn nuôi trang trại quy mô lớn).</w:t>
      </w:r>
    </w:p>
    <w:p w14:paraId="0A4DD77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674F239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6214C592" w14:textId="77777777" w:rsidR="00343467" w:rsidRPr="00343467" w:rsidRDefault="00343467" w:rsidP="00343467">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51EC65F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Để được hưởng chính sách khuyến khích xử lý chất thải chăn nuôi, các đối tượng phải đáp ứng các điều kiện sau:</w:t>
      </w:r>
    </w:p>
    <w:p w14:paraId="75101B67"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hyperlink r:id="rId9" w:history="1">
        <w:r w:rsidRPr="00343467">
          <w:rPr>
            <w:rStyle w:val="Hyperlink"/>
            <w:rFonts w:ascii="Times New Roman" w:hAnsi="Times New Roman" w:cs="Times New Roman"/>
            <w:sz w:val="28"/>
            <w:szCs w:val="28"/>
          </w:rPr>
          <w:t>Luật Chăn nuôi 2018</w:t>
        </w:r>
      </w:hyperlink>
      <w:r w:rsidRPr="00343467">
        <w:rPr>
          <w:rFonts w:ascii="Times New Roman" w:hAnsi="Times New Roman" w:cs="Times New Roman"/>
          <w:sz w:val="28"/>
          <w:szCs w:val="28"/>
        </w:rPr>
        <w:t>.</w:t>
      </w:r>
    </w:p>
    <w:p w14:paraId="05F82F7D"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1D4285A2"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63278ABB" w14:textId="6BC3824F" w:rsid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6C24C81E" w14:textId="33B5DE8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BE33E06" w14:textId="0A780FB6"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 Quyết định 1002/QĐ-BGTVT của Bộ Giao thông Vận tải về việc công bố thủ tục hành chính được sửa đổi, bổ sung trong lĩnh vực đăng kiểm thuộc phạm vi chức năng quản lý của Bộ Giao thông Vận tải</w:t>
      </w:r>
    </w:p>
    <w:p w14:paraId="612E33A4" w14:textId="77777777" w:rsid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nội dung chính trong </w:t>
      </w:r>
      <w:hyperlink r:id="rId10"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1B5DE010" w14:textId="3B41AA47" w:rsidR="00B06B4A" w:rsidRP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11"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7B6979BC" w14:textId="77777777" w:rsidR="00B06B4A" w:rsidRPr="00B06B4A" w:rsidRDefault="00B06B4A" w:rsidP="00B06B4A">
      <w:pPr>
        <w:spacing w:after="0"/>
        <w:ind w:firstLine="720"/>
        <w:jc w:val="both"/>
        <w:rPr>
          <w:rFonts w:ascii="Times New Roman" w:hAnsi="Times New Roman" w:cs="Times New Roman"/>
          <w:sz w:val="28"/>
          <w:szCs w:val="28"/>
        </w:rPr>
      </w:pPr>
      <w:r w:rsidRPr="00B06B4A">
        <w:rPr>
          <w:rFonts w:ascii="Times New Roman" w:hAnsi="Times New Roman" w:cs="Times New Roman"/>
          <w:sz w:val="28"/>
          <w:szCs w:val="28"/>
        </w:rPr>
        <w:t>Tại đây, BGTVT đã hướng dẫn chi tiết trình tự thực hiện thủ tục và thành phần để lập hồ sơ đối với hồ sơ thiết kế đóng mới, hoán cải, sửa đổi, thiết kế lập 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1D32C3AC" w14:textId="70C969B9"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9BE5889" w14:textId="572518E4"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2C95D94B"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0BBDED8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Đối tượng được vay vốn bao gồm: Hộ gia đình cư trú tại vùng nông thôn nơi đăng ký thường trú hoặc tạm trú (sau đây gọi là khách hàng).</w:t>
      </w:r>
    </w:p>
    <w:p w14:paraId="104D7736"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06E3041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4E1FFBE2"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3C0EE2AC"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221AA499"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329395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0F892AC1"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Cuối cùng, khách hàng không phải thực hiện việc bảo đảm khoản vay khi vay vốn theo Quyết định này.</w:t>
      </w:r>
    </w:p>
    <w:p w14:paraId="30819A0C" w14:textId="6A9B882D"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1107D5BA" w14:textId="2055EFAF"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Quyết định 2662/QĐ-BNN-TCCB của Bộ Nông nghiệp và Phát triển nông thôn về việc thành lập Trung tâm Khảo nghiệm, kiểm nghiệm và Kiểm định chăn nuôi Trung ương I trực thuộc Cục Chăn nuôi</w:t>
      </w:r>
    </w:p>
    <w:p w14:paraId="65C0A2F1"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2A37F223"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trực thuộc Cục Chăn nuôi trên cơ sở Đề án tổ chức lại Trung tâm Khảo, kiểm nghiệm và Kiểm định chăn nuôi thành Trung tâm Khảo nghiệm, kiểm nghiệm và Kiểm định chăn nuôi Trung ương I và Trung tâm Khảo nghiệm, kiểm nghiệm và Kiểm định chăn nuôi Trung ương II trực thuộc Cục Chăn nuôi.</w:t>
      </w:r>
    </w:p>
    <w:p w14:paraId="3F50E27C"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1D0D8A9D"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2B8B5B2A"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1C352198"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3D5674B3"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38C7BE82"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lang w:val="en-US"/>
        </w:rPr>
      </w:pPr>
      <w:r w:rsidRPr="00165CD0">
        <w:rPr>
          <w:rFonts w:ascii="Times New Roman" w:hAnsi="Times New Roman" w:cs="Times New Roman"/>
          <w:color w:val="000000" w:themeColor="text1"/>
          <w:sz w:val="28"/>
          <w:szCs w:val="28"/>
          <w:lang w:val="en-US"/>
        </w:rPr>
        <w:t>Phòng Phân tích.</w:t>
      </w:r>
    </w:p>
    <w:p w14:paraId="1C15C26A" w14:textId="3947DF20" w:rsidR="00B06B4A" w:rsidRPr="00165CD0" w:rsidRDefault="00165CD0" w:rsidP="00165CD0">
      <w:pPr>
        <w:pStyle w:val="ListParagraph"/>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7C93F757" w14:textId="22A61A95"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8A7BCD"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9191836"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chi phí thực hiện công tác chi trả trợ giúp xã hội cho các đối tượng bảo trợ xã hội từ ngày 01/9/2024 được quy định như sau:</w:t>
      </w:r>
    </w:p>
    <w:p w14:paraId="42C2A42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401FA85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198A9C8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12"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3"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7427B7D0" w14:textId="5EBE7522"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541E5C8F" w14:textId="3EC662AE"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9</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94F3BE7"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11/2024/TT-BYT của Bộ Y tế quy định cụ thể tiêu chuẩn, điều kiện xét thăng hạng chức danh nghề nghiệp viên chức chuyên ngành y, dược, dân số</w:t>
      </w:r>
    </w:p>
    <w:p w14:paraId="5E28560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4C79582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chính (hạng II), Bác sĩ y học dự phòng chính (hạng II), Y tế công cộng chính (hạng II), Dược sĩ chính (hạng II), Điều dưỡng hạng II, Hộ sinh hạng II, Kỹ thuật y hạng II, Dinh dưỡng hạng II, Dân số viên hạng II.</w:t>
      </w:r>
    </w:p>
    <w:p w14:paraId="6637DBE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07FC4A45"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74B9FD9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người đứng đầu cơ quan có thẩm quyền quản lý viên chức quyết định cử viên chức dự xét thăng hạng chức danh nghề nghiệp;</w:t>
      </w:r>
    </w:p>
    <w:p w14:paraId="1E43C4A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28DD343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4929A04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5CF6FD17"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0A583CC4"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1FE3C5"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Đạt danh hiệu “Thầy thuốc nhân dân”;</w:t>
      </w:r>
    </w:p>
    <w:p w14:paraId="40720217"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Đạt danh hiệu Chiến sĩ thi đua toàn quốc;</w:t>
      </w:r>
    </w:p>
    <w:p w14:paraId="70C6FA34"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Được khen thưởng Huân chương Lao động hạng Nhì trở lên;</w:t>
      </w:r>
    </w:p>
    <w:p w14:paraId="1C799288"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nhiệm hoặc thành viên tham gia chính ít nhất 01 nhiệm vụ khoa học và công nghệ từ cấp bộ, cấp tỉnh trở lên và nhiệm vụ khoa học và công nghệ này phải được nghiệm thu từ mức đạt trở lên;</w:t>
      </w:r>
    </w:p>
    <w:p w14:paraId="7EF725C6"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trì hoặc thành viên tham gia chính ít nhất 01 đề án hoặc 01 hướng dẫn, quy trình chuyên môn kỹ thuật trong lĩnh vực công tác được cấp bộ, cấp tỉnh ban hành;</w:t>
      </w:r>
    </w:p>
    <w:p w14:paraId="6A7109E0"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nhiệm ít nhất 03 nhiệm vụ khoa học và công nghệ từ cấp cơ sở trở lên và nhiệm vụ khoa học và công nghệ này phải được nghiệm thu từ mức đạt trở lên...</w:t>
      </w:r>
    </w:p>
    <w:p w14:paraId="16ECE16D" w14:textId="703CD471"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9A224D" w:rsidRPr="008B70C2">
        <w:rPr>
          <w:rFonts w:ascii="Times New Roman" w:hAnsi="Times New Roman" w:cs="Times New Roman"/>
          <w:sz w:val="28"/>
          <w:szCs w:val="28"/>
        </w:rPr>
        <w:t>/2024.</w:t>
      </w:r>
    </w:p>
    <w:p w14:paraId="54E34C46" w14:textId="1EF1D5EC" w:rsidR="009E124D" w:rsidRPr="008A7BCD" w:rsidRDefault="00F01323" w:rsidP="009E124D">
      <w:pPr>
        <w:spacing w:after="0"/>
        <w:ind w:firstLine="720"/>
        <w:jc w:val="both"/>
        <w:rPr>
          <w:rFonts w:ascii="Times New Roman" w:hAnsi="Times New Roman" w:cs="Times New Roman"/>
          <w:b/>
          <w:sz w:val="28"/>
          <w:szCs w:val="28"/>
        </w:rPr>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47/2024/TT-BTC của Bộ Tài chính quy định mức thu, chế độ thu, nộp, miễn, quản lý và sử dụng phí khai thác, sử dụng thông tin dữ liệu đo đạc và bản đồ</w:t>
      </w:r>
    </w:p>
    <w:p w14:paraId="2C03650D" w14:textId="665664D0" w:rsidR="009E124D" w:rsidRPr="008A7BCD" w:rsidRDefault="009E124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Theo đó, </w:t>
      </w:r>
      <w:r w:rsidR="008A7BCD" w:rsidRPr="008A7BCD">
        <w:rPr>
          <w:rFonts w:ascii="Times New Roman" w:hAnsi="Times New Roman" w:cs="Times New Roman"/>
          <w:sz w:val="28"/>
          <w:szCs w:val="28"/>
        </w:rPr>
        <w:t>Mức thu phí và miễn phí khai thác, sử dụng thông tin dữ liệu đo đạc và bản đồ được quy định như sau:</w:t>
      </w:r>
    </w:p>
    <w:p w14:paraId="254B0D0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4B3FFA1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706B47A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5EA8F46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2B54E1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5080A78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72A8FA6E"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4"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5"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579C33DD" w14:textId="77777777" w:rsidR="008A7BCD" w:rsidRPr="008A7BCD" w:rsidRDefault="008A7BCD" w:rsidP="008A7BCD">
      <w:pPr>
        <w:spacing w:after="0"/>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1E7E805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760DBE3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Người nộp phí thực hiện nộp phí khi đề nghị cung cấp thông tin, dữ liệu đo đạc và bản đồ, nộp phí cho tổ chức thu phí theo quy định tại Thông tư 74/2022/TT-BTC .</w:t>
      </w:r>
    </w:p>
    <w:p w14:paraId="08479B4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7AA0AC6E" w14:textId="5D9D44CF"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42BDEC43" w14:textId="69CE7D39" w:rsidR="009E124D" w:rsidRPr="00B11C82"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9FB3CCB" w14:textId="57D2051C"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5A5D32"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4AD57EDA"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7B704F7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1EA50250"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3B568391"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151/2010/TT-BTC hướng dẫn áp dụng các loại thuế và các khoản nộp ngân sách nhà nước đối với Quỹ phát triển đất quy định tại Điều 34 Nghị định 69/2009/NĐ-CP quy định bổ sung về quy hoạch sử dụng đất, giá đất, thu hồi đất, bồi thường, hỗ trợ và tái định cư.</w:t>
      </w:r>
    </w:p>
    <w:p w14:paraId="0102169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6"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82A3CB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1767C406"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7"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02D7D813"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2D8905BA" w14:textId="1FA796E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46D81617" w14:textId="4A420759"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5A5D32">
        <w:rPr>
          <w:rFonts w:ascii="Times New Roman" w:hAnsi="Times New Roman" w:cs="Times New Roman"/>
          <w:sz w:val="28"/>
          <w:szCs w:val="28"/>
        </w:rPr>
        <w:t>10</w:t>
      </w:r>
      <w:r w:rsidRPr="008B70C2">
        <w:rPr>
          <w:rFonts w:ascii="Times New Roman" w:hAnsi="Times New Roman" w:cs="Times New Roman"/>
          <w:sz w:val="28"/>
          <w:szCs w:val="28"/>
        </w:rPr>
        <w:t>/</w:t>
      </w:r>
      <w:r w:rsidR="005A5D32">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51D0863" w14:textId="3DB2B4F5"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11. Thông tư 09/2024/TT-BCT của Bộ Công Thương quy định tính toán giá bán điện bình quân</w:t>
      </w:r>
    </w:p>
    <w:p w14:paraId="00506DEF" w14:textId="77777777" w:rsidR="005A5D32" w:rsidRPr="005A5D32" w:rsidRDefault="005A5D32" w:rsidP="005A5D32">
      <w:pPr>
        <w:spacing w:after="0"/>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2896227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22B53BB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án giá cập nhật quý III hoặc kế hoạch cung cấp điện và vận hành hệ thống điện quốc gia năm N được cập nhật;</w:t>
      </w:r>
    </w:p>
    <w:p w14:paraId="1DC1002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10307B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2EF5AD08"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các tháng đầu năm đã thực hiện và dự kiến chi phí mua điện các tháng còn lại trong năm, trong đó:</w:t>
      </w:r>
    </w:p>
    <w:p w14:paraId="21FBD0C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5484C6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04B72175" w14:textId="5BBD9A46"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008B378F" w14:textId="13D45CE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điểm tính toán kế hoạch phương thức vận hành hệ thống điện quốc gia theo quy định tại khoản 1 Điều 11 Thông tư 09/2024/TT-BCT .</w:t>
      </w:r>
    </w:p>
    <w:p w14:paraId="77DF294F" w14:textId="54FCCBDB"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4740BD07" w14:textId="0125646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19A08831" w14:textId="1289A713"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3E9580B0" w14:textId="45DB4DB5"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0876C552" w14:textId="77777777" w:rsid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4A8E2207" w14:textId="1A891820" w:rsidR="005A5D32" w:rsidRDefault="005A5D32" w:rsidP="005A5D3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1E80A6F" w14:textId="0D757F72" w:rsidR="005A5D32" w:rsidRDefault="005A5D32" w:rsidP="005A5D32">
      <w:pPr>
        <w:spacing w:after="0"/>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 xml:space="preserve">12. </w:t>
      </w:r>
      <w:r w:rsidR="00504374" w:rsidRPr="00504374">
        <w:rPr>
          <w:rFonts w:ascii="Times New Roman" w:hAnsi="Times New Roman" w:cs="Times New Roman"/>
          <w:b/>
          <w:bCs/>
          <w:sz w:val="28"/>
          <w:szCs w:val="28"/>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029A2C8" w14:textId="3E5D323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0856D509" w14:textId="19A065C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06376FD9" w14:textId="51A2D90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17CA8671" w14:textId="0CF6E44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4F944FC7" w14:textId="7FD134FA" w:rsidR="00504374" w:rsidRPr="00504374" w:rsidRDefault="00504374" w:rsidP="00504374">
      <w:pPr>
        <w:spacing w:after="0"/>
        <w:ind w:firstLine="720"/>
        <w:jc w:val="both"/>
        <w:rPr>
          <w:rFonts w:ascii="Times New Roman" w:hAnsi="Times New Roman" w:cs="Times New Roman"/>
          <w:sz w:val="28"/>
          <w:szCs w:val="28"/>
        </w:rPr>
      </w:pPr>
      <w:r w:rsidRPr="00504374">
        <w:rPr>
          <w:rFonts w:ascii="Times New Roman" w:hAnsi="Times New Roman" w:cs="Times New Roman"/>
          <w:sz w:val="28"/>
          <w:szCs w:val="28"/>
        </w:rPr>
        <w:t>- Hồ sơ đề nghị phân công công chức thanh tra chuyên ngành bao gồm:</w:t>
      </w:r>
    </w:p>
    <w:p w14:paraId="07C55E03" w14:textId="688FC9EA"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9B44EF7" w14:textId="4C587038" w:rsid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1DB88334" w14:textId="7708D212" w:rsidR="005A5D32" w:rsidRPr="005A5D32" w:rsidRDefault="00504374" w:rsidP="00504374">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20/9/2024</w:t>
      </w:r>
    </w:p>
    <w:p w14:paraId="158CDA27" w14:textId="4F7C850C" w:rsidR="002E34C2" w:rsidRPr="005A5D32" w:rsidRDefault="002E34C2" w:rsidP="008B70C2">
      <w:pPr>
        <w:spacing w:after="0"/>
        <w:jc w:val="both"/>
        <w:rPr>
          <w:rFonts w:ascii="Times New Roman" w:hAnsi="Times New Roman" w:cs="Times New Roman"/>
          <w:sz w:val="28"/>
          <w:szCs w:val="28"/>
        </w:rPr>
      </w:pPr>
    </w:p>
    <w:p w14:paraId="41F48C9D" w14:textId="30C86C73" w:rsidR="003F763D" w:rsidRPr="00733B5F" w:rsidRDefault="00902001" w:rsidP="008B70C2">
      <w:pPr>
        <w:spacing w:after="0"/>
        <w:jc w:val="both"/>
        <w:rPr>
          <w:rFonts w:ascii="Times New Roman" w:hAnsi="Times New Roman" w:cs="Times New Roman"/>
          <w:b/>
          <w:sz w:val="28"/>
          <w:szCs w:val="28"/>
          <w:lang w:val="en-US"/>
        </w:rPr>
      </w:pPr>
      <w:r w:rsidRPr="001518BC">
        <w:rPr>
          <w:rFonts w:ascii="Times New Roman" w:hAnsi="Times New Roman" w:cs="Times New Roman"/>
          <w:b/>
          <w:sz w:val="28"/>
          <w:szCs w:val="28"/>
        </w:rPr>
        <w:t xml:space="preserve">                                                        </w:t>
      </w:r>
      <w:r w:rsidR="00733B5F">
        <w:rPr>
          <w:rFonts w:ascii="Times New Roman" w:hAnsi="Times New Roman" w:cs="Times New Roman"/>
          <w:b/>
          <w:sz w:val="28"/>
          <w:szCs w:val="28"/>
          <w:lang w:val="en-US"/>
        </w:rPr>
        <w:t>ỦY BAN NHÂN DÂN XÃ</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8"/>
          <w:footerReference w:type="default" r:id="rId19"/>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84445" w14:textId="77777777" w:rsidR="00C232AD" w:rsidRDefault="00C232AD" w:rsidP="007137D4">
      <w:pPr>
        <w:spacing w:after="0" w:line="240" w:lineRule="auto"/>
      </w:pPr>
      <w:r>
        <w:separator/>
      </w:r>
    </w:p>
  </w:endnote>
  <w:endnote w:type="continuationSeparator" w:id="0">
    <w:p w14:paraId="08FB364D" w14:textId="77777777" w:rsidR="00C232AD" w:rsidRDefault="00C232AD"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76628"/>
      <w:docPartObj>
        <w:docPartGallery w:val="Page Numbers (Bottom of Page)"/>
        <w:docPartUnique/>
      </w:docPartObj>
    </w:sdtPr>
    <w:sdtEndPr>
      <w:rPr>
        <w:noProof/>
      </w:rPr>
    </w:sdtEndPr>
    <w:sdtContent>
      <w:p w14:paraId="79769610" w14:textId="2EA6203F" w:rsidR="00353FC7" w:rsidRDefault="00353FC7">
        <w:pPr>
          <w:pStyle w:val="Footer"/>
          <w:jc w:val="center"/>
        </w:pPr>
        <w:r>
          <w:fldChar w:fldCharType="begin"/>
        </w:r>
        <w:r>
          <w:instrText xml:space="preserve"> PAGE   \* MERGEFORMAT </w:instrText>
        </w:r>
        <w:r>
          <w:fldChar w:fldCharType="separate"/>
        </w:r>
        <w:r w:rsidR="00C232AD">
          <w:rPr>
            <w:noProof/>
          </w:rPr>
          <w:t>1</w:t>
        </w:r>
        <w:r>
          <w:rPr>
            <w:noProof/>
          </w:rPr>
          <w:fldChar w:fldCharType="end"/>
        </w:r>
      </w:p>
    </w:sdtContent>
  </w:sdt>
  <w:p w14:paraId="61BD5B8B" w14:textId="77777777" w:rsidR="00353FC7" w:rsidRDefault="0035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37D36" w14:textId="77777777" w:rsidR="00C232AD" w:rsidRDefault="00C232AD" w:rsidP="007137D4">
      <w:pPr>
        <w:spacing w:after="0" w:line="240" w:lineRule="auto"/>
      </w:pPr>
      <w:r>
        <w:separator/>
      </w:r>
    </w:p>
  </w:footnote>
  <w:footnote w:type="continuationSeparator" w:id="0">
    <w:p w14:paraId="39A87A12" w14:textId="77777777" w:rsidR="00C232AD" w:rsidRDefault="00C232AD"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239072A6"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44292C">
          <w:rPr>
            <w:noProof/>
            <w:sz w:val="26"/>
            <w:szCs w:val="26"/>
          </w:rPr>
          <w:t>13</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2"/>
    <w:lvlOverride w:ilvl="0">
      <w:startOverride w:val="2"/>
    </w:lvlOverride>
  </w:num>
  <w:num w:numId="3">
    <w:abstractNumId w:val="23"/>
    <w:lvlOverride w:ilvl="0">
      <w:startOverride w:val="3"/>
    </w:lvlOverride>
  </w:num>
  <w:num w:numId="4">
    <w:abstractNumId w:val="15"/>
    <w:lvlOverride w:ilvl="0">
      <w:startOverride w:val="4"/>
    </w:lvlOverride>
  </w:num>
  <w:num w:numId="5">
    <w:abstractNumId w:val="14"/>
    <w:lvlOverride w:ilvl="0">
      <w:startOverride w:val="5"/>
    </w:lvlOverride>
  </w:num>
  <w:num w:numId="6">
    <w:abstractNumId w:val="27"/>
    <w:lvlOverride w:ilvl="0">
      <w:startOverride w:val="6"/>
    </w:lvlOverride>
  </w:num>
  <w:num w:numId="7">
    <w:abstractNumId w:val="29"/>
    <w:lvlOverride w:ilvl="0">
      <w:startOverride w:val="7"/>
    </w:lvlOverride>
  </w:num>
  <w:num w:numId="8">
    <w:abstractNumId w:val="30"/>
    <w:lvlOverride w:ilvl="0">
      <w:startOverride w:val="8"/>
    </w:lvlOverride>
  </w:num>
  <w:num w:numId="9">
    <w:abstractNumId w:val="28"/>
    <w:lvlOverride w:ilvl="0">
      <w:startOverride w:val="9"/>
    </w:lvlOverride>
  </w:num>
  <w:num w:numId="10">
    <w:abstractNumId w:val="1"/>
  </w:num>
  <w:num w:numId="11">
    <w:abstractNumId w:val="31"/>
  </w:num>
  <w:num w:numId="12">
    <w:abstractNumId w:val="12"/>
  </w:num>
  <w:num w:numId="13">
    <w:abstractNumId w:val="24"/>
  </w:num>
  <w:num w:numId="14">
    <w:abstractNumId w:val="11"/>
  </w:num>
  <w:num w:numId="15">
    <w:abstractNumId w:val="21"/>
  </w:num>
  <w:num w:numId="16">
    <w:abstractNumId w:val="16"/>
  </w:num>
  <w:num w:numId="17">
    <w:abstractNumId w:val="20"/>
  </w:num>
  <w:num w:numId="18">
    <w:abstractNumId w:val="3"/>
  </w:num>
  <w:num w:numId="19">
    <w:abstractNumId w:val="10"/>
  </w:num>
  <w:num w:numId="20">
    <w:abstractNumId w:val="39"/>
  </w:num>
  <w:num w:numId="21">
    <w:abstractNumId w:val="0"/>
  </w:num>
  <w:num w:numId="22">
    <w:abstractNumId w:val="26"/>
  </w:num>
  <w:num w:numId="23">
    <w:abstractNumId w:val="22"/>
  </w:num>
  <w:num w:numId="24">
    <w:abstractNumId w:val="7"/>
  </w:num>
  <w:num w:numId="25">
    <w:abstractNumId w:val="37"/>
  </w:num>
  <w:num w:numId="26">
    <w:abstractNumId w:val="6"/>
  </w:num>
  <w:num w:numId="27">
    <w:abstractNumId w:val="43"/>
  </w:num>
  <w:num w:numId="28">
    <w:abstractNumId w:val="19"/>
  </w:num>
  <w:num w:numId="29">
    <w:abstractNumId w:val="35"/>
  </w:num>
  <w:num w:numId="30">
    <w:abstractNumId w:val="36"/>
  </w:num>
  <w:num w:numId="31">
    <w:abstractNumId w:val="25"/>
  </w:num>
  <w:num w:numId="32">
    <w:abstractNumId w:val="32"/>
  </w:num>
  <w:num w:numId="33">
    <w:abstractNumId w:val="18"/>
  </w:num>
  <w:num w:numId="34">
    <w:abstractNumId w:val="41"/>
  </w:num>
  <w:num w:numId="35">
    <w:abstractNumId w:val="40"/>
  </w:num>
  <w:num w:numId="36">
    <w:abstractNumId w:val="5"/>
  </w:num>
  <w:num w:numId="37">
    <w:abstractNumId w:val="34"/>
  </w:num>
  <w:num w:numId="38">
    <w:abstractNumId w:val="38"/>
  </w:num>
  <w:num w:numId="39">
    <w:abstractNumId w:val="9"/>
  </w:num>
  <w:num w:numId="40">
    <w:abstractNumId w:val="44"/>
  </w:num>
  <w:num w:numId="41">
    <w:abstractNumId w:val="4"/>
  </w:num>
  <w:num w:numId="42">
    <w:abstractNumId w:val="2"/>
  </w:num>
  <w:num w:numId="43">
    <w:abstractNumId w:val="8"/>
  </w:num>
  <w:num w:numId="44">
    <w:abstractNumId w:val="1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123D"/>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53FC7"/>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292C"/>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33B5F"/>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2AD"/>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ao-dong-Tien-luong/Bo-Luat-lao-dong-2019-333670.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van-ban/Lao-dong-Tien-luong/Bo-Luat-lao-dong-2019-333670.aspx" TargetMode="External"/><Relationship Id="rId17" Type="http://schemas.openxmlformats.org/officeDocument/2006/relationships/hyperlink" Target="https://thuvienphapluat.vn/van-ban/Doanh-nghiep/Nghi-quyet-02-NQ-CP-2013-giai-phap-thao-go-kho-khan-san-xuat-kinh-doanh-ho-tro-thi-truong-no-xau-163775.aspx" TargetMode="External"/><Relationship Id="rId2" Type="http://schemas.openxmlformats.org/officeDocument/2006/relationships/numbering" Target="numbering.xml"/><Relationship Id="rId16" Type="http://schemas.openxmlformats.org/officeDocument/2006/relationships/hyperlink" Target="https://thuvienphapluat.vn/van-ban/Van-hoa-Xa-hoi/Nghi-quyet-30a-2008-NQ-CP-chuong-trinh-ho-tro-giam-ngheo-nhanh-va-ben-vung-doi-voi-61-huyen-ngheo-83914.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Quyet-dinh-1002-QD-BGTVT-2024-cong-bo-thu-tuc-hanh-chinh-linh-vuc-dang-kiem-621379.aspx" TargetMode="External"/><Relationship Id="rId5" Type="http://schemas.openxmlformats.org/officeDocument/2006/relationships/settings" Target="settings.xml"/><Relationship Id="rId15" Type="http://schemas.openxmlformats.org/officeDocument/2006/relationships/hyperlink" Target="https://thuvienphapluat.vn/van-ban/Bo-may-hanh-chinh/Luat-Phong-thu-dan-su-2023-so-18-2023-QH15-519325.aspx" TargetMode="External"/><Relationship Id="rId10" Type="http://schemas.openxmlformats.org/officeDocument/2006/relationships/hyperlink" Target="https://thuvienphapluat.vn/van-ban/Bo-may-hanh-chinh/Quyet-dinh-1002-QD-BGTVT-2024-cong-bo-thu-tuc-hanh-chinh-linh-vuc-dang-kiem-621379.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Linh-vuc-khac/Luat-Chan-nuoi-2018-353242.aspx" TargetMode="External"/><Relationship Id="rId14" Type="http://schemas.openxmlformats.org/officeDocument/2006/relationships/hyperlink" Target="https://thuvienphapluat.vn/van-ban/Bo-may-hanh-chinh/Luat-quoc-phong-34039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FAB6-94D2-41A9-82FE-2FE7DBFB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2024-09-04T01:34:00Z</cp:lastPrinted>
  <dcterms:created xsi:type="dcterms:W3CDTF">2024-09-04T01:32:00Z</dcterms:created>
  <dcterms:modified xsi:type="dcterms:W3CDTF">2024-09-06T07:55:00Z</dcterms:modified>
</cp:coreProperties>
</file>