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897827C"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002C5D">
        <w:rPr>
          <w:b/>
          <w:bCs/>
          <w:sz w:val="28"/>
          <w:szCs w:val="28"/>
          <w:bdr w:val="none" w:sz="0" w:space="0" w:color="auto" w:frame="1"/>
          <w:lang w:val="vi-VN"/>
        </w:rPr>
        <w:t>01/2025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7590C802"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002C5D">
        <w:rPr>
          <w:rFonts w:ascii="Times New Roman" w:hAnsi="Times New Roman" w:cs="Times New Roman"/>
          <w:sz w:val="28"/>
          <w:szCs w:val="28"/>
        </w:rPr>
        <w:t>01/2025 có 11 Luật, 10 Nghị quyết, 11</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002C5D">
        <w:rPr>
          <w:rFonts w:ascii="Times New Roman" w:hAnsi="Times New Roman" w:cs="Times New Roman"/>
          <w:sz w:val="28"/>
          <w:szCs w:val="28"/>
        </w:rPr>
        <w:t>2</w:t>
      </w:r>
      <w:r w:rsidR="00787185">
        <w:rPr>
          <w:rFonts w:ascii="Times New Roman" w:hAnsi="Times New Roman" w:cs="Times New Roman"/>
          <w:sz w:val="28"/>
          <w:szCs w:val="28"/>
        </w:rPr>
        <w:t>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002C5D">
        <w:rPr>
          <w:rFonts w:ascii="Times New Roman" w:hAnsi="Times New Roman" w:cs="Times New Roman"/>
          <w:sz w:val="28"/>
          <w:szCs w:val="28"/>
        </w:rPr>
        <w:t>108</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4DD85B9" w:rsidR="00A16B08" w:rsidRPr="00002C5D" w:rsidRDefault="00A16B08" w:rsidP="00A11AC3">
      <w:pPr>
        <w:spacing w:after="0" w:line="240" w:lineRule="auto"/>
        <w:ind w:firstLine="720"/>
        <w:jc w:val="both"/>
        <w:rPr>
          <w:rFonts w:ascii="Times New Roman" w:hAnsi="Times New Roman" w:cs="Times New Roman"/>
          <w:b/>
          <w:bCs/>
          <w:color w:val="000000" w:themeColor="text1"/>
          <w:sz w:val="40"/>
          <w:szCs w:val="40"/>
        </w:rPr>
      </w:pPr>
      <w:r w:rsidRPr="00002C5D">
        <w:rPr>
          <w:rFonts w:ascii="Times New Roman" w:hAnsi="Times New Roman" w:cs="Times New Roman"/>
          <w:b/>
          <w:bCs/>
          <w:color w:val="000000" w:themeColor="text1"/>
          <w:sz w:val="28"/>
          <w:szCs w:val="28"/>
        </w:rPr>
        <w:t xml:space="preserve">1. </w:t>
      </w:r>
      <w:r w:rsidR="00002C5D" w:rsidRPr="00002C5D">
        <w:rPr>
          <w:rFonts w:ascii="Times New Roman" w:hAnsi="Times New Roman" w:cs="Times New Roman"/>
          <w:b/>
          <w:sz w:val="28"/>
          <w:szCs w:val="28"/>
        </w:rPr>
        <w:t>Luật Trật tự, an toàn giao thông đường bộ của Quốc hội, số </w:t>
      </w:r>
      <w:hyperlink r:id="rId8" w:history="1">
        <w:r w:rsidR="00002C5D" w:rsidRPr="00002C5D">
          <w:rPr>
            <w:rStyle w:val="Hyperlink"/>
            <w:rFonts w:ascii="Times New Roman" w:hAnsi="Times New Roman" w:cs="Times New Roman"/>
            <w:b/>
            <w:color w:val="000000" w:themeColor="text1"/>
            <w:sz w:val="28"/>
            <w:szCs w:val="28"/>
            <w:u w:val="none"/>
          </w:rPr>
          <w:t>36/2024/QH15</w:t>
        </w:r>
      </w:hyperlink>
    </w:p>
    <w:p w14:paraId="195D6512" w14:textId="77777777" w:rsidR="00002C5D" w:rsidRPr="00002C5D" w:rsidRDefault="00002C5D" w:rsidP="00A11AC3">
      <w:pPr>
        <w:spacing w:after="0" w:line="240" w:lineRule="auto"/>
        <w:ind w:firstLine="720"/>
        <w:jc w:val="both"/>
        <w:rPr>
          <w:rFonts w:ascii="Times New Roman" w:hAnsi="Times New Roman" w:cs="Times New Roman"/>
          <w:b/>
          <w:bCs/>
          <w:color w:val="000000" w:themeColor="text1"/>
          <w:sz w:val="28"/>
          <w:szCs w:val="28"/>
        </w:rPr>
      </w:pPr>
      <w:r w:rsidRPr="00002C5D">
        <w:rPr>
          <w:rFonts w:ascii="Times New Roman" w:hAnsi="Times New Roman" w:cs="Times New Roman"/>
          <w:b/>
          <w:bCs/>
          <w:color w:val="000000" w:themeColor="text1"/>
          <w:sz w:val="28"/>
          <w:szCs w:val="28"/>
        </w:rPr>
        <w:t>Quy định điểm của giấy phép lái xe</w:t>
      </w:r>
    </w:p>
    <w:p w14:paraId="2EFB1C4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Tại kỳ họp thứ 7, Quốc hội đã thông qua </w:t>
      </w:r>
      <w:hyperlink r:id="rId9"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Sau đây là một số nội dung đáng chú ý về điểm của giấy phép lái xe được quy định tại Điều 58 </w:t>
      </w:r>
      <w:hyperlink r:id="rId10"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w:t>
      </w:r>
    </w:p>
    <w:p w14:paraId="7277FD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Giấy phép lái xe có 12 điểm, vi phạm giao thông sẽ bị trừ điểm. Theo đó:</w:t>
      </w:r>
    </w:p>
    <w:p w14:paraId="0034875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14:paraId="7A39BCF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141278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Giấy phép lái xe chưa bị trừ hết điểm và không bị trừ điểm trong thời hạn 12 tháng từ ngày bị trừ điểm gần nhất thì được phục hồi đủ 12 điểm.</w:t>
      </w:r>
    </w:p>
    <w:p w14:paraId="23ABF77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Trường hợp giấy phép lái xe bị trừ hết điểm thì người có giấy phép lái xe không được điều khiển phương tiện tham gia giao thông đường bộ theo giấy phép lái xe đó.</w:t>
      </w:r>
    </w:p>
    <w:p w14:paraId="01A4F261" w14:textId="5B2EFA35" w:rsidR="00AE29F9" w:rsidRPr="00AE29F9"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w:t>
      </w:r>
      <w:hyperlink r:id="rId11"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do lực lượng Cảnh sát giao thông tổ chức, có kết quả đạt yêu cầu thì được phục hồi đủ 12 điểm.</w:t>
      </w:r>
    </w:p>
    <w:p w14:paraId="36CEEB39" w14:textId="0950E0C7" w:rsidR="008B70C2"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Pr>
          <w:rFonts w:ascii="Times New Roman" w:hAnsi="Times New Roman" w:cs="Times New Roman"/>
          <w:sz w:val="28"/>
          <w:szCs w:val="28"/>
        </w:rPr>
        <w:t>01/01/2025</w:t>
      </w:r>
    </w:p>
    <w:p w14:paraId="648AE132" w14:textId="15EBBEB0" w:rsidR="00A16B08" w:rsidRPr="00002C5D" w:rsidRDefault="00824364" w:rsidP="00A11AC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sửa đổi, bổ sung một số điều của Luật Đấu giá tài sản của Quốc hội, số </w:t>
      </w:r>
      <w:hyperlink r:id="rId12" w:history="1">
        <w:r w:rsidR="00002C5D" w:rsidRPr="00002C5D">
          <w:rPr>
            <w:rStyle w:val="Hyperlink"/>
            <w:rFonts w:ascii="Times New Roman" w:hAnsi="Times New Roman" w:cs="Times New Roman"/>
            <w:b/>
            <w:bCs/>
            <w:color w:val="000000" w:themeColor="text1"/>
            <w:sz w:val="28"/>
            <w:szCs w:val="28"/>
            <w:u w:val="none"/>
          </w:rPr>
          <w:t>37/2024/QH15</w:t>
        </w:r>
      </w:hyperlink>
    </w:p>
    <w:p w14:paraId="203AD21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Theo đó, tài sản mà pháp luật quy định phải đấu giá từ ngày 01/01/2025 bao gồm:</w:t>
      </w:r>
    </w:p>
    <w:p w14:paraId="0B9B2C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đất theo quy định của pháp luật về đất đai;</w:t>
      </w:r>
    </w:p>
    <w:p w14:paraId="5B0CCA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khai thác khoáng sản theo quy định của pháp luật về khoáng sản;</w:t>
      </w:r>
    </w:p>
    <w:p w14:paraId="14B3F89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tần số vô tuyến điện theo quy định của pháp luật về tần số vô tuyến điện;</w:t>
      </w:r>
    </w:p>
    <w:p w14:paraId="575451B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mã, số viễn thông và tên miền quốc gia Việt Nam “.vn” theo quy định của pháp luật về viễn thông;</w:t>
      </w:r>
    </w:p>
    <w:p w14:paraId="58D0587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rừng, cho thuê rừng theo quy định của pháp luật về lâm nghiệp;</w:t>
      </w:r>
    </w:p>
    <w:p w14:paraId="4BDE856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cố định của doanh nghiệp theo quy định của pháp luật về quản lý, sử dụng vốn nhà nước đầu tư vào sản xuất, kinh doanh tại doanh nghiệp;</w:t>
      </w:r>
    </w:p>
    <w:p w14:paraId="32B1894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là hàng dự trữ quốc gia theo quy định của pháp luật về dự trữ quốc gia;</w:t>
      </w:r>
    </w:p>
    <w:p w14:paraId="5FEC4B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709E3E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thi hành án theo quy định của pháp luật về thi hành án dân sự;</w:t>
      </w:r>
    </w:p>
    <w:p w14:paraId="217935B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bảo đảm theo quy định của pháp luật về bảo đảm thực hiện nghĩa vụ;</w:t>
      </w:r>
    </w:p>
    <w:p w14:paraId="420E7FA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kê biên để bảo đảm thi hành quyết định xử phạt vi phạm hành chính theo quy định của pháp luật về xử lý vi phạm hành chính;</w:t>
      </w:r>
    </w:p>
    <w:p w14:paraId="4144F3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hợp tác xã, liên hiệp hợp tác xã phá sản theo quy định của pháp luật về hợp tác xã và pháp luật về phá sản;</w:t>
      </w:r>
    </w:p>
    <w:p w14:paraId="0D4425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doanh nghiệp phá sản theo quy định của pháp luật về phá sản;</w:t>
      </w:r>
    </w:p>
    <w:p w14:paraId="0A5BFB8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p>
    <w:p w14:paraId="05CCF70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khác mà pháp luật quy định phải đấu giá.</w:t>
      </w:r>
    </w:p>
    <w:p w14:paraId="373D0C82" w14:textId="0E8734CB" w:rsidR="00A16B08" w:rsidRPr="00AE29F9"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Tài sản không thuộc trường hợp nêu trên mà cá nhân, tổ chức tự nguyện lựa chọn đấu giá.</w:t>
      </w:r>
    </w:p>
    <w:p w14:paraId="42D6D3A4" w14:textId="0827F546" w:rsidR="009E124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3198901" w14:textId="7E9A520E" w:rsidR="00A16B08" w:rsidRPr="00A16B08" w:rsidRDefault="00343467" w:rsidP="00A11AC3">
      <w:pPr>
        <w:spacing w:after="0" w:line="240"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Thủ đô của Quốc hội, số </w:t>
      </w:r>
      <w:hyperlink r:id="rId13" w:history="1">
        <w:r w:rsidR="00002C5D" w:rsidRPr="00002C5D">
          <w:rPr>
            <w:rStyle w:val="Hyperlink"/>
            <w:rFonts w:ascii="Times New Roman" w:hAnsi="Times New Roman" w:cs="Times New Roman"/>
            <w:b/>
            <w:bCs/>
            <w:color w:val="000000" w:themeColor="text1"/>
            <w:sz w:val="28"/>
            <w:szCs w:val="28"/>
          </w:rPr>
          <w:t>39/2024/QH15</w:t>
        </w:r>
      </w:hyperlink>
    </w:p>
    <w:p w14:paraId="6D6B54C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việc quy hoạch xây dựng và phát triển Thủ đô theo </w:t>
      </w:r>
      <w:hyperlink r:id="rId14" w:history="1">
        <w:r w:rsidRPr="00002C5D">
          <w:rPr>
            <w:rStyle w:val="Hyperlink"/>
            <w:rFonts w:ascii="Times New Roman" w:hAnsi="Times New Roman" w:cs="Times New Roman"/>
            <w:sz w:val="28"/>
            <w:szCs w:val="28"/>
          </w:rPr>
          <w:t>Luật Thủ đô 2024</w:t>
        </w:r>
      </w:hyperlink>
      <w:r w:rsidRPr="00002C5D">
        <w:rPr>
          <w:rFonts w:ascii="Times New Roman" w:hAnsi="Times New Roman" w:cs="Times New Roman"/>
          <w:sz w:val="28"/>
          <w:szCs w:val="28"/>
        </w:rPr>
        <w:t> được thực hiện như sau:</w:t>
      </w:r>
    </w:p>
    <w:p w14:paraId="499F64B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[1] Việc xây dựng và phát triển Thủ đô phải thực hiện theo Quy hoạch Thủ đô, Quy hoạch chung Thủ đô.</w:t>
      </w:r>
    </w:p>
    <w:p w14:paraId="02E719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Thủ đô, Quy hoạch chung Thủ đô phải bảo đảm xây dựng Thủ đô văn hiến, văn minh, hiện đại, phát triển bền vững, môi trường sống trong lành, an ninh nguồn nước với sông Hồng là trục xanh, cảnh quan trung tâm, phát triển đô thị hài hòa hai bên sông của Thành phố.</w:t>
      </w:r>
    </w:p>
    <w:p w14:paraId="76BC6C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Bảo đảm quốc phòng, an ninh, kết nối hệ thống hạ tầng kỹ thuật, hạ tầng xã hội của Thủ đô với các địa phương có hoạt động liên kết, phát triển vùng với Thủ đô và cả nước.</w:t>
      </w:r>
    </w:p>
    <w:p w14:paraId="359825C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[2] Tập trung nguồn lực, ưu tiên tổ chức thực hiện quy hoạch phân khu sông Hồng và sông Đuống phù hợp với Quy hoạch Thủ đô và Quy hoạch chung Thủ đô.</w:t>
      </w:r>
    </w:p>
    <w:p w14:paraId="28ED48A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Cho phép xây dựng các tuyến đê mới phù hợp với quy hoạch phòng, chống lũ của tuyến sông có đê, quy hoạch đê điều và quy hoạch khác có liên quan để khai thác hiệu quả quỹ đất.</w:t>
      </w:r>
    </w:p>
    <w:p w14:paraId="320861C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Trên bãi sông được phép tồn tại một số khu vực dân cư hiện hữu và được phép xây dựng mới công trình, nhà ở với tỷ lệ thích hợp theo quy hoạch phòng, chống lũ của tuyến sông có đê và quy hoạch khác có liên quan;</w:t>
      </w:r>
    </w:p>
    <w:p w14:paraId="069C7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p>
    <w:p w14:paraId="3B33DE3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[3] Ủy ban nhân dân Thành phố quyết định điều chỉnh việc xác định phân vùng môi trường trong Quy hoạch Thủ đô, điều chỉnh cục bộ quy hoạch chung đô thị, quy hoạch chung xây dựng khu chức năng, quy hoạch chuyên ngành hạ tầng kỹ thuật của Thành phố đã được Thủ tướng Chính phủ phê duyệt và báo cáo Thủ tướng Chính phủ kết quả thực hiện.</w:t>
      </w:r>
    </w:p>
    <w:p w14:paraId="4FE0E2F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Hội đồng nhân dân Thành phố quy định chi tiết trình tự, thủ tục điều chỉnh việc xác định phân vùng môi trường, điều chỉnh cục bộ quy hoạch quy định tại khoản 3 Điều 17 </w:t>
      </w:r>
      <w:hyperlink r:id="rId15" w:history="1">
        <w:r w:rsidRPr="00002C5D">
          <w:rPr>
            <w:rStyle w:val="Hyperlink"/>
            <w:rFonts w:ascii="Times New Roman" w:hAnsi="Times New Roman" w:cs="Times New Roman"/>
            <w:color w:val="000000" w:themeColor="text1"/>
            <w:sz w:val="28"/>
            <w:szCs w:val="28"/>
            <w:u w:val="none"/>
          </w:rPr>
          <w:t>Luật Thủ đô 2024</w:t>
        </w:r>
      </w:hyperlink>
      <w:r w:rsidRPr="00002C5D">
        <w:rPr>
          <w:rFonts w:ascii="Times New Roman" w:hAnsi="Times New Roman" w:cs="Times New Roman"/>
          <w:color w:val="000000" w:themeColor="text1"/>
          <w:sz w:val="28"/>
          <w:szCs w:val="28"/>
        </w:rPr>
        <w:t>.</w:t>
      </w:r>
    </w:p>
    <w:p w14:paraId="0170B2D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[4] Đối với khu vực đã có quy hoạch chung hoặc quy hoạch phân khu, quy hoạch xây dựng vùng huyện được phê duyệt theo quy định của pháp luật về quy hoạch, pháp luật về xây dựng, pháp luật về quy hoạch đô thị thì không phải lập quy hoạch sử dụng đất cấp huyện mà căn cứ vào quy hoạch chung hoặc quy hoạch phân khu.</w:t>
      </w:r>
    </w:p>
    <w:p w14:paraId="522C8CFA" w14:textId="39957F54" w:rsidR="00787185" w:rsidRPr="00787185"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xây dựng vùng huyện và chỉ tiêu sử dụng đất đã được phân bổ từ Quy hoạch chung Thủ đô và các chỉ tiêu sử dụng đất của địa phương để lập kế hoạch sử dụng đất hằng năm cấp huyện.</w:t>
      </w:r>
    </w:p>
    <w:p w14:paraId="6C24C81E" w14:textId="03F0DDC3" w:rsidR="00343467"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343467"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r w:rsidR="00343467" w:rsidRPr="008B70C2">
        <w:rPr>
          <w:rFonts w:ascii="Times New Roman" w:hAnsi="Times New Roman" w:cs="Times New Roman"/>
          <w:sz w:val="28"/>
          <w:szCs w:val="28"/>
        </w:rPr>
        <w:t>.</w:t>
      </w:r>
    </w:p>
    <w:p w14:paraId="7BE33E06" w14:textId="52177FBE" w:rsidR="00B06B4A" w:rsidRPr="00002C5D" w:rsidRDefault="00B06B4A" w:rsidP="00A11AC3">
      <w:pPr>
        <w:spacing w:after="0" w:line="240"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002C5D" w:rsidRPr="00002C5D">
        <w:rPr>
          <w:rFonts w:ascii="Times New Roman" w:hAnsi="Times New Roman" w:cs="Times New Roman"/>
          <w:b/>
          <w:bCs/>
          <w:sz w:val="28"/>
          <w:szCs w:val="28"/>
        </w:rPr>
        <w:t>Luật Tổ chức Tòa án nhân dân của Quốc hội, số </w:t>
      </w:r>
      <w:hyperlink r:id="rId16" w:history="1">
        <w:r w:rsidR="00002C5D" w:rsidRPr="00002C5D">
          <w:rPr>
            <w:rStyle w:val="Hyperlink"/>
            <w:rFonts w:ascii="Times New Roman" w:hAnsi="Times New Roman" w:cs="Times New Roman"/>
            <w:b/>
            <w:bCs/>
            <w:color w:val="000000" w:themeColor="text1"/>
            <w:sz w:val="28"/>
            <w:szCs w:val="28"/>
            <w:u w:val="none"/>
          </w:rPr>
          <w:t>34/2024/QH15</w:t>
        </w:r>
      </w:hyperlink>
    </w:p>
    <w:p w14:paraId="36AF100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tổ chức của Tòa án nhân dân bao gồm:</w:t>
      </w:r>
    </w:p>
    <w:p w14:paraId="7507B5B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tối cao;</w:t>
      </w:r>
    </w:p>
    <w:p w14:paraId="43D3E68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cấp cao;</w:t>
      </w:r>
    </w:p>
    <w:p w14:paraId="333FC55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tỉnh, thành phố trực thuộc trung ương;</w:t>
      </w:r>
    </w:p>
    <w:p w14:paraId="3082CE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huyện, quận, thị xã, thành phố thuộc tỉnh, thành phố thuộc thành phố trực thuộc trung ương;</w:t>
      </w:r>
    </w:p>
    <w:p w14:paraId="2530900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sơ thẩm chuyên biệt Hành chính, Tòa án nhân dân sơ thẩm chuyên biệt Sở hữu trí tuệ, Tòa án nhân dân chuyên biệt Phá sản (sau đây gọi chung là Tòa án nhân dân sơ thẩm chuyên biệt);</w:t>
      </w:r>
    </w:p>
    <w:p w14:paraId="531217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quân sự trung ương, Tòa án quân sự quân khu và tương đương, Tòa án quân sự khu vực (sau đây gọi chung là Tòa án quân sự).</w:t>
      </w:r>
    </w:p>
    <w:p w14:paraId="781434F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Trước đó, </w:t>
      </w:r>
      <w:hyperlink r:id="rId17" w:history="1">
        <w:r w:rsidRPr="00002C5D">
          <w:rPr>
            <w:rStyle w:val="Hyperlink"/>
            <w:rFonts w:ascii="Times New Roman" w:hAnsi="Times New Roman" w:cs="Times New Roman"/>
            <w:color w:val="000000" w:themeColor="text1"/>
            <w:sz w:val="28"/>
            <w:szCs w:val="28"/>
            <w:u w:val="none"/>
          </w:rPr>
          <w:t>Luật Tổ chức Tòa án nhân dân 2014</w:t>
        </w:r>
      </w:hyperlink>
      <w:r w:rsidRPr="00002C5D">
        <w:rPr>
          <w:rFonts w:ascii="Times New Roman" w:hAnsi="Times New Roman" w:cs="Times New Roman"/>
          <w:color w:val="000000" w:themeColor="text1"/>
          <w:sz w:val="28"/>
          <w:szCs w:val="28"/>
        </w:rPr>
        <w:t> không có Tòa án nhân dân sơ thẩm chuyên biệt, cũng không có sự phân cấp giữa Tòa án quân sự.</w:t>
      </w:r>
    </w:p>
    <w:p w14:paraId="3A3FF13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Quy định về ngạch Thẩm phán. Cụ thể tại Điều 90 </w:t>
      </w:r>
      <w:hyperlink r:id="rId18" w:history="1">
        <w:r w:rsidRPr="00002C5D">
          <w:rPr>
            <w:rStyle w:val="Hyperlink"/>
            <w:rFonts w:ascii="Times New Roman" w:hAnsi="Times New Roman" w:cs="Times New Roman"/>
            <w:color w:val="000000" w:themeColor="text1"/>
            <w:sz w:val="28"/>
            <w:szCs w:val="28"/>
            <w:u w:val="none"/>
          </w:rPr>
          <w:t>Luật Tổ chức Tòa án nhân dân 2024 </w:t>
        </w:r>
      </w:hyperlink>
      <w:r w:rsidRPr="00002C5D">
        <w:rPr>
          <w:rFonts w:ascii="Times New Roman" w:hAnsi="Times New Roman" w:cs="Times New Roman"/>
          <w:color w:val="000000" w:themeColor="text1"/>
          <w:sz w:val="28"/>
          <w:szCs w:val="28"/>
        </w:rPr>
        <w:t>quy định 02 ngạch Thẩm phán gồm Thẩm phán Tòa án nhân dân tối cao và Thẩm phán.</w:t>
      </w:r>
    </w:p>
    <w:p w14:paraId="4214D7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ml:space="preserve">- Quy định về chế độ tiền lương, phụ cấp của Thẩm phán, Thẩm tra viên Tòa án, Thư ký Toà án tại Điều </w:t>
      </w:r>
      <w:r w:rsidRPr="00002C5D">
        <w:rPr>
          <w:rFonts w:ascii="Times New Roman" w:hAnsi="Times New Roman" w:cs="Times New Roman"/>
          <w:color w:val="000000" w:themeColor="text1"/>
          <w:sz w:val="28"/>
          <w:szCs w:val="28"/>
        </w:rPr>
        <w:t>143 </w:t>
      </w:r>
      <w:hyperlink r:id="rId19"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sz w:val="28"/>
          <w:szCs w:val="28"/>
        </w:rPr>
        <w:t> như sau:</w:t>
      </w:r>
    </w:p>
    <w:p w14:paraId="349CC05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Nhà nước có chính sách ưu tiên về tiên lương, phụ cấp đối với Thẩm phán, Thẩm tra viên Tòa án, Thư ký Toà án</w:t>
      </w:r>
    </w:p>
    <w:p w14:paraId="7C8AA35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và phụ cấp đối với Thẩm phán, Thẩm tra viên Tòa án, Thư ký Tòa án do Ủy ban Thường vụ Quốc hội quy định theo đề nghị của Chánh án Tòa án nhân dân tối cao.</w:t>
      </w:r>
    </w:p>
    <w:p w14:paraId="6DA9181F"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phụ cấp đối với công chức khác, viên chức và người lao động của Tòa án được thực hiện theo quy định của pháp luật.</w:t>
      </w:r>
    </w:p>
    <w:p w14:paraId="0B0F3D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Công chức, viên chức của Tòa án được điều động, luân chuyển, biệt phái tại các Tòa án được hưởng chế độ, chính sách theo quy định của pháp luật.</w:t>
      </w:r>
    </w:p>
    <w:p w14:paraId="62A7A7D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 định về tham dự và hoạt động thông tin tại phiên tòa, phiên họp tại Điều 141 </w:t>
      </w:r>
      <w:hyperlink r:id="rId20"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color w:val="000000" w:themeColor="text1"/>
          <w:sz w:val="28"/>
          <w:szCs w:val="28"/>
        </w:rPr>
        <w:t xml:space="preserve">, </w:t>
      </w:r>
      <w:r w:rsidRPr="00002C5D">
        <w:rPr>
          <w:rFonts w:ascii="Times New Roman" w:hAnsi="Times New Roman" w:cs="Times New Roman"/>
          <w:sz w:val="28"/>
          <w:szCs w:val="28"/>
        </w:rPr>
        <w:t>cụ thể:</w:t>
      </w:r>
    </w:p>
    <w:p w14:paraId="54DEF96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Người dưới 16 tuổi không được vào phòng xử án, trừ trường hợp được Tòa án triệu tập đến phiên tòa.</w:t>
      </w:r>
    </w:p>
    <w:p w14:paraId="0913193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Việc ghi âm lời nói, ghi hình ảnh của Hội đồng xét xử, Thẩm phán trong thời gian diễn ra phiên họp, phiên tòa phải được sự đồng ý của Thẩm phán chủ tọa phiên tòa, phiên họp.</w:t>
      </w:r>
    </w:p>
    <w:p w14:paraId="3CBB5EA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Trường hợp ghi âm lời nói, ghi hình ảnh của người tiến hành tố tụng khác, người tham gia phiên tòa, phiên họp thì phải được sự đồng ý của họ và Thẩm phán chủ tọa phiên tòa, phiên họp.</w:t>
      </w:r>
    </w:p>
    <w:p w14:paraId="1D32C3AC" w14:textId="72D70616" w:rsidR="00B06B4A"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3F58928" w14:textId="77777777" w:rsidR="00002C5D" w:rsidRDefault="00B06B4A" w:rsidP="00A11AC3">
      <w:pPr>
        <w:spacing w:after="0" w:line="240" w:lineRule="auto"/>
        <w:ind w:firstLine="567"/>
        <w:jc w:val="both"/>
        <w:rPr>
          <w:rFonts w:ascii="Times New Roman" w:hAnsi="Times New Roman" w:cs="Times New Roman"/>
          <w:b/>
          <w:bCs/>
          <w:sz w:val="28"/>
          <w:szCs w:val="28"/>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Quản lý, sử dụng vũ khí, vật liệu nổ và công cụ hỗ trợ của Quốc hội, số</w:t>
      </w:r>
      <w:r w:rsidR="00002C5D" w:rsidRPr="00002C5D">
        <w:rPr>
          <w:rFonts w:ascii="Times New Roman" w:hAnsi="Times New Roman" w:cs="Times New Roman"/>
          <w:b/>
          <w:bCs/>
          <w:color w:val="000000" w:themeColor="text1"/>
          <w:sz w:val="28"/>
          <w:szCs w:val="28"/>
        </w:rPr>
        <w:t> </w:t>
      </w:r>
      <w:hyperlink r:id="rId21" w:history="1">
        <w:r w:rsidR="00002C5D" w:rsidRPr="00002C5D">
          <w:rPr>
            <w:rStyle w:val="Hyperlink"/>
            <w:rFonts w:ascii="Times New Roman" w:hAnsi="Times New Roman" w:cs="Times New Roman"/>
            <w:b/>
            <w:bCs/>
            <w:color w:val="000000" w:themeColor="text1"/>
            <w:sz w:val="28"/>
            <w:szCs w:val="28"/>
            <w:u w:val="none"/>
          </w:rPr>
          <w:t>42/2024/QH15</w:t>
        </w:r>
      </w:hyperlink>
    </w:p>
    <w:p w14:paraId="612548A2" w14:textId="4415DDC4" w:rsidR="00002C5D" w:rsidRPr="00002C5D"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Pr="00002C5D">
        <w:rPr>
          <w:rFonts w:ascii="Times New Roman" w:hAnsi="Times New Roman" w:cs="Times New Roman"/>
          <w:color w:val="000000" w:themeColor="text1"/>
          <w:sz w:val="28"/>
          <w:szCs w:val="28"/>
        </w:rPr>
        <w:t>ột số nội dung đáng chú ý của Luật này:</w:t>
      </w:r>
    </w:p>
    <w:p w14:paraId="6E605414" w14:textId="586D3432"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xml:space="preserve">- </w:t>
      </w:r>
      <w:r w:rsidRPr="00002C5D">
        <w:rPr>
          <w:rFonts w:ascii="Times New Roman" w:hAnsi="Times New Roman" w:cs="Times New Roman"/>
          <w:i/>
          <w:iCs/>
          <w:color w:val="000000" w:themeColor="text1"/>
          <w:sz w:val="28"/>
          <w:szCs w:val="28"/>
        </w:rPr>
        <w:t>Bổ sung dao có tính sát thương cao vào nhóm vũ khí thô sơ. Theo đó, vũ khí thô sơ bao gồm:</w:t>
      </w:r>
    </w:p>
    <w:p w14:paraId="77EA3860" w14:textId="77777777" w:rsid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Kiếm, giáo, mác, thương, dao găm, lưỡi lê, đao, mã tấu, côn, quả đấm, quả chùy, cung, nỏ, phi tiêu thuộc danh mục do Bộ trưởng Bộ Công an ban hành;</w:t>
      </w:r>
    </w:p>
    <w:p w14:paraId="3FF62C61" w14:textId="5C9FBAB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Dao có tính sát thương cao sử dụng với mục đích để thực hiện hành vi phạm tội, gây rối, làm mất trật tự công cộng hoặc chống đối cơ quan, tổ chức thực hiện nhiệm vụ, người thi hành công vụ.</w:t>
      </w:r>
    </w:p>
    <w:p w14:paraId="62114D9E" w14:textId="1212CCD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xml:space="preserve">- </w:t>
      </w:r>
      <w:r w:rsidRPr="00002C5D">
        <w:rPr>
          <w:rFonts w:ascii="Times New Roman" w:hAnsi="Times New Roman" w:cs="Times New Roman"/>
          <w:i/>
          <w:iCs/>
          <w:color w:val="000000" w:themeColor="text1"/>
          <w:sz w:val="28"/>
          <w:szCs w:val="28"/>
        </w:rPr>
        <w:t> Người được giao sử dụng vũ khí, vật liệu nổ, công cụ hỗ trợ phải bảo đảm đủ điều kiện sau:</w:t>
      </w:r>
    </w:p>
    <w:p w14:paraId="4CDB9D89" w14:textId="518869C4"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 xml:space="preserve"> Có năng lực hành vi dân sự đầy đủ;</w:t>
      </w:r>
    </w:p>
    <w:p w14:paraId="20376345" w14:textId="298DBC8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Có phẩm chất đạo đức tốt, đủ sức khỏe phù hợp với công việc được giao;</w:t>
      </w:r>
    </w:p>
    <w:p w14:paraId="07E80105" w14:textId="26510DD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14:paraId="6A7BE412" w14:textId="4449181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002C5D">
        <w:rPr>
          <w:rFonts w:ascii="Times New Roman" w:hAnsi="Times New Roman" w:cs="Times New Roman"/>
          <w:color w:val="000000" w:themeColor="text1"/>
          <w:sz w:val="28"/>
          <w:szCs w:val="28"/>
        </w:rPr>
        <w:t>Không trong thời gian bị áp dụng biện pháp xử lý hành chính, bị truy cứu trách nhiệm hình sự; trường hợp người bị kết tội theo bản án, quyết định của Tòa án thì phải được xóa án tích.</w:t>
      </w:r>
    </w:p>
    <w:p w14:paraId="2DE97CC7" w14:textId="3A44A57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xml:space="preserve">- </w:t>
      </w:r>
      <w:r w:rsidRPr="00002C5D">
        <w:rPr>
          <w:rFonts w:ascii="Times New Roman" w:hAnsi="Times New Roman" w:cs="Times New Roman"/>
          <w:i/>
          <w:iCs/>
          <w:color w:val="000000" w:themeColor="text1"/>
          <w:sz w:val="28"/>
          <w:szCs w:val="28"/>
        </w:rPr>
        <w:t> Đối tượng được trang bị vũ khí quân dụng bao gồm:</w:t>
      </w:r>
    </w:p>
    <w:p w14:paraId="7164A9E5" w14:textId="5E53667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Quân đội nhân dân;</w:t>
      </w:r>
    </w:p>
    <w:p w14:paraId="3DD69A99" w14:textId="3B7DBF2A"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Dân quân tự vệ;</w:t>
      </w:r>
    </w:p>
    <w:p w14:paraId="6CF5A257" w14:textId="2BADFDD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Cảnh sát biển;</w:t>
      </w:r>
    </w:p>
    <w:p w14:paraId="2661DDBE" w14:textId="572D08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Công an nhân dân;</w:t>
      </w:r>
    </w:p>
    <w:p w14:paraId="13847880" w14:textId="7AD5B1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yếu;</w:t>
      </w:r>
    </w:p>
    <w:p w14:paraId="5C0F7BFF" w14:textId="568486BF"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quan điều tra của Viện kiểm sát nhân dân tối cao;</w:t>
      </w:r>
    </w:p>
    <w:p w14:paraId="5914DA00" w14:textId="653F6B58"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Kiểm lâm, Kiểm ngư;...</w:t>
      </w:r>
    </w:p>
    <w:p w14:paraId="1C15C26A" w14:textId="46CF15A3" w:rsidR="00B06B4A"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3C087D86" w14:textId="108EAA53" w:rsidR="006D1EA9" w:rsidRPr="006D1EA9" w:rsidRDefault="006D1EA9" w:rsidP="00A11AC3">
      <w:pPr>
        <w:spacing w:after="0" w:line="240"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6.</w:t>
      </w:r>
      <w:r w:rsidRPr="00002C5D">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sửa đổi, bổ sung một số điều của Luật Cảnh vệ của Quốc hội, số </w:t>
      </w:r>
      <w:hyperlink r:id="rId22" w:history="1">
        <w:r w:rsidR="00002C5D" w:rsidRPr="00002C5D">
          <w:rPr>
            <w:rStyle w:val="Hyperlink"/>
            <w:rFonts w:ascii="Times New Roman" w:hAnsi="Times New Roman" w:cs="Times New Roman"/>
            <w:b/>
            <w:bCs/>
            <w:color w:val="000000" w:themeColor="text1"/>
            <w:sz w:val="28"/>
            <w:szCs w:val="28"/>
            <w:u w:val="none"/>
          </w:rPr>
          <w:t>40/2024/QH15</w:t>
        </w:r>
      </w:hyperlink>
    </w:p>
    <w:p w14:paraId="6CAA147E"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w:t>
      </w:r>
      <w:hyperlink r:id="rId23" w:history="1">
        <w:r w:rsidRPr="00002C5D">
          <w:rPr>
            <w:rStyle w:val="Hyperlink"/>
            <w:rFonts w:ascii="Times New Roman" w:hAnsi="Times New Roman" w:cs="Times New Roman"/>
            <w:color w:val="000000" w:themeColor="text1"/>
            <w:sz w:val="28"/>
            <w:szCs w:val="28"/>
            <w:u w:val="none"/>
          </w:rPr>
          <w:t>Luật Cảnh vệ sửa đổi 2024</w:t>
        </w:r>
      </w:hyperlink>
      <w:r w:rsidRPr="00002C5D">
        <w:rPr>
          <w:rFonts w:ascii="Times New Roman" w:hAnsi="Times New Roman" w:cs="Times New Roman"/>
          <w:color w:val="000000" w:themeColor="text1"/>
          <w:sz w:val="28"/>
          <w:szCs w:val="28"/>
        </w:rPr>
        <w:t> bổ sung các chức vụ lãnh đạo Đảng, Nhà nước vào diện đối tượng cảnh vệ vào Điều 10 </w:t>
      </w:r>
      <w:hyperlink r:id="rId24" w:history="1">
        <w:r w:rsidRPr="00002C5D">
          <w:rPr>
            <w:rStyle w:val="Hyperlink"/>
            <w:rFonts w:ascii="Times New Roman" w:hAnsi="Times New Roman" w:cs="Times New Roman"/>
            <w:color w:val="000000" w:themeColor="text1"/>
            <w:sz w:val="28"/>
            <w:szCs w:val="28"/>
            <w:u w:val="none"/>
          </w:rPr>
          <w:t>Luật Cảnh vệ</w:t>
        </w:r>
      </w:hyperlink>
      <w:r w:rsidRPr="00002C5D">
        <w:rPr>
          <w:rFonts w:ascii="Times New Roman" w:hAnsi="Times New Roman" w:cs="Times New Roman"/>
          <w:color w:val="000000" w:themeColor="text1"/>
          <w:sz w:val="28"/>
          <w:szCs w:val="28"/>
        </w:rPr>
        <w:t>, cụ thể là các chức danh sau:</w:t>
      </w:r>
    </w:p>
    <w:p w14:paraId="53E10DA0"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Thường trực Ban Bí thư;</w:t>
      </w:r>
    </w:p>
    <w:p w14:paraId="7BD483AB"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Ban Bí thư;</w:t>
      </w:r>
    </w:p>
    <w:p w14:paraId="22CC417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Chánh án Tòa án nhân dân tối cao, Viện trưởng Viện kiểm sát nhân dân tối cao.</w:t>
      </w:r>
    </w:p>
    <w:p w14:paraId="10F74B8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các chức danh mới được bổ sung vào diện đối tượng cảnh vệ, thì các chức danh thuộc đối tượng cảnh vệ gồm có:</w:t>
      </w:r>
    </w:p>
    <w:p w14:paraId="7A18DB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Tổng Bí thư Ban Chấp hành Trung ương Đảng Cộng sản Việt Nam;</w:t>
      </w:r>
    </w:p>
    <w:p w14:paraId="2697476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nước;</w:t>
      </w:r>
    </w:p>
    <w:p w14:paraId="149A11C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Quốc hội;</w:t>
      </w:r>
    </w:p>
    <w:p w14:paraId="75A7F7D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Thủ tướng Chính phủ;</w:t>
      </w:r>
    </w:p>
    <w:p w14:paraId="47DB23E8"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Nguyên Tổng Bí thư Ban Chấp hành Trung ương Đảng Cộng sản Việt Nam, nguyên Chủ tịch nước, nguyên Chủ tịch Quốc hội, nguyên Thủ tướng Chính phủ;</w:t>
      </w:r>
    </w:p>
    <w:p w14:paraId="3CFD556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Bộ Chính trị;</w:t>
      </w:r>
    </w:p>
    <w:p w14:paraId="5DC2D76A"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Ủy ban Trung ương Mặt trận Tổ quốc Việt Nam, Phó Chủ tịch nước, Phó Chủ tịch Quốc hội, Phó Thủ tướng Chính phủ.</w:t>
      </w:r>
    </w:p>
    <w:p w14:paraId="16CEECC7"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ra, Luật sửa đổi cũng quy định về khách quốc tế đến thăm, làm việc tại Việt Nam thuộc đối tượng cảnh vệ bao gồm các đối tượng sau:</w:t>
      </w:r>
    </w:p>
    <w:p w14:paraId="1B5E5E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Người đứng đầu Nhà nước, cơ quan lập pháp, Chính phủ;</w:t>
      </w:r>
    </w:p>
    <w:p w14:paraId="0E49A37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Cấp phó của người đứng đầu Nhà nước, cơ quan lập pháp, Chính phủ trên nguyên tắc đối đẳng, có đi có lại, yêu cầu đối ngoại;</w:t>
      </w:r>
    </w:p>
    <w:p w14:paraId="3A11925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của Tổng Bí thư Ban Chấp hành Trung ương Đảng Cộng sản Việt Nam, Chủ tịch nước, Chủ tịch Quốc hội, Thủ tướng Chính phủ;</w:t>
      </w:r>
    </w:p>
    <w:p w14:paraId="4F2788E4"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khác theo đề nghị của Trưởng Ban Đối ngoại Trung ương, Chủ nhiệm Ủy ban Đối ngoại của Quốc hội, Bộ trưởng Bộ Ngoại giao trên nguyên tắc đối đẳng, có đi có lại, yêu cầu đối ngoại.</w:t>
      </w:r>
    </w:p>
    <w:p w14:paraId="2BD581B8" w14:textId="5D834DCE" w:rsidR="009659C9"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lang w:val="en-US"/>
        </w:rPr>
        <w:t xml:space="preserve">**Đối tượng cảnh vệ là người giữ chức vụ, chức danh lãnh đạo chủ chốt, lãnh đạo cấp cao của Đảng Cộng sản Việt Nam, Nhà nước Cộng hòa xã hội chủ nghĩa </w:t>
      </w:r>
      <w:r w:rsidRPr="00002C5D">
        <w:rPr>
          <w:rFonts w:ascii="Times New Roman" w:hAnsi="Times New Roman" w:cs="Times New Roman"/>
          <w:color w:val="000000" w:themeColor="text1"/>
          <w:sz w:val="28"/>
          <w:szCs w:val="28"/>
          <w:lang w:val="en-US"/>
        </w:rPr>
        <w:lastRenderedPageBreak/>
        <w:t>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w:t>
      </w:r>
      <w:hyperlink r:id="rId25" w:history="1">
        <w:r w:rsidRPr="00002C5D">
          <w:rPr>
            <w:rStyle w:val="Hyperlink"/>
            <w:rFonts w:ascii="Times New Roman" w:hAnsi="Times New Roman" w:cs="Times New Roman"/>
            <w:color w:val="000000" w:themeColor="text1"/>
            <w:sz w:val="28"/>
            <w:szCs w:val="28"/>
            <w:u w:val="none"/>
            <w:lang w:val="en-US"/>
          </w:rPr>
          <w:t>Luật Cảnh vệ</w:t>
        </w:r>
      </w:hyperlink>
      <w:r w:rsidRPr="00002C5D">
        <w:rPr>
          <w:rFonts w:ascii="Times New Roman" w:hAnsi="Times New Roman" w:cs="Times New Roman"/>
          <w:color w:val="000000" w:themeColor="text1"/>
          <w:sz w:val="28"/>
          <w:szCs w:val="28"/>
          <w:lang w:val="en-US"/>
        </w:rPr>
        <w:t>.</w:t>
      </w:r>
    </w:p>
    <w:p w14:paraId="029426FC" w14:textId="400ED451" w:rsidR="006D1EA9" w:rsidRPr="003A1DB9"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4EE65A39" w14:textId="13F2C321" w:rsidR="00A16B08" w:rsidRPr="00A16B08" w:rsidRDefault="004C2F95" w:rsidP="00A11AC3">
      <w:pPr>
        <w:spacing w:after="0" w:line="240"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Đường bộ của Quốc hội, số </w:t>
      </w:r>
      <w:hyperlink r:id="rId26" w:history="1">
        <w:r w:rsidR="00002C5D" w:rsidRPr="00002C5D">
          <w:rPr>
            <w:rStyle w:val="Hyperlink"/>
            <w:rFonts w:ascii="Times New Roman" w:hAnsi="Times New Roman" w:cs="Times New Roman"/>
            <w:b/>
            <w:bCs/>
            <w:color w:val="000000" w:themeColor="text1"/>
            <w:sz w:val="28"/>
            <w:szCs w:val="28"/>
            <w:u w:val="none"/>
          </w:rPr>
          <w:t>35/2024/QH15</w:t>
        </w:r>
      </w:hyperlink>
    </w:p>
    <w:p w14:paraId="76EC9E5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chính sách phát triển đối với hoạt động đường bộ được quy định cụ thể như sau:</w:t>
      </w:r>
    </w:p>
    <w:p w14:paraId="6E8317C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Chính sách phát triển kết cấu hạ tầng đường bộ bao gồm:</w:t>
      </w:r>
    </w:p>
    <w:p w14:paraId="3633A1D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14:paraId="75D423F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Xây dựng cơ chế đẩy mạnh huy động các nguồn lực xã hội, đa dạng các hình thức, phương thức đầu tư, xây dựng, quản lý, vận hành, khai thác, bảo trì kết cấu hạ tầng đường bộ;</w:t>
      </w:r>
    </w:p>
    <w:p w14:paraId="6673E4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14:paraId="0708C72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14:paraId="76CD74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p>
    <w:p w14:paraId="541E5C8F" w14:textId="3DDACAA5" w:rsidR="009E124D"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4879EBE" w14:textId="0413E0E7" w:rsidR="00A16B08" w:rsidRDefault="00F01323" w:rsidP="00A11AC3">
      <w:pPr>
        <w:spacing w:after="0" w:line="240"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Quản lý, bảo vệ công trình quốc phòng và khu quân sự của Quốc hội, số</w:t>
      </w:r>
      <w:r w:rsidR="00002C5D" w:rsidRPr="00002C5D">
        <w:rPr>
          <w:rFonts w:ascii="Times New Roman" w:hAnsi="Times New Roman" w:cs="Times New Roman"/>
          <w:b/>
          <w:bCs/>
          <w:color w:val="000000" w:themeColor="text1"/>
          <w:sz w:val="28"/>
          <w:szCs w:val="28"/>
        </w:rPr>
        <w:t> </w:t>
      </w:r>
      <w:hyperlink r:id="rId27" w:history="1">
        <w:r w:rsidR="00002C5D" w:rsidRPr="00002C5D">
          <w:rPr>
            <w:rStyle w:val="Hyperlink"/>
            <w:rFonts w:ascii="Times New Roman" w:hAnsi="Times New Roman" w:cs="Times New Roman"/>
            <w:b/>
            <w:bCs/>
            <w:color w:val="000000" w:themeColor="text1"/>
            <w:sz w:val="28"/>
            <w:szCs w:val="28"/>
            <w:u w:val="none"/>
          </w:rPr>
          <w:t>25/2023/QH15</w:t>
        </w:r>
      </w:hyperlink>
    </w:p>
    <w:p w14:paraId="52FD4E9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Theo đó, </w:t>
      </w:r>
      <w:hyperlink r:id="rId28" w:tgtFrame="_blank" w:history="1">
        <w:r w:rsidRPr="00002C5D">
          <w:rPr>
            <w:rStyle w:val="Hyperlink"/>
            <w:rFonts w:ascii="Times New Roman" w:hAnsi="Times New Roman" w:cs="Times New Roman"/>
            <w:color w:val="000000" w:themeColor="text1"/>
            <w:sz w:val="28"/>
            <w:szCs w:val="28"/>
            <w:u w:val="none"/>
          </w:rPr>
          <w:t>Luật Quản lý, bảo vệ công trình quốc phòng và khu quân sự 2023</w:t>
        </w:r>
      </w:hyperlink>
      <w:r w:rsidRPr="00002C5D">
        <w:rPr>
          <w:rFonts w:ascii="Times New Roman" w:hAnsi="Times New Roman" w:cs="Times New Roman"/>
          <w:color w:val="000000" w:themeColor="text1"/>
          <w:sz w:val="28"/>
          <w:szCs w:val="28"/>
        </w:rPr>
        <w:t xml:space="preserve"> quy </w:t>
      </w:r>
      <w:r w:rsidRPr="00002C5D">
        <w:rPr>
          <w:rFonts w:ascii="Times New Roman" w:hAnsi="Times New Roman" w:cs="Times New Roman"/>
          <w:sz w:val="28"/>
          <w:szCs w:val="28"/>
        </w:rPr>
        <w:t>định về quản lý, bảo vệ công trình quốc phòng và khu quân sự; quyền, nghĩa vụ, trách nhiệm của cơ quan, đơn vị, tổ chức, hộ gia đình, cá nhân; chế độ, chính sách trong hoạt động quản lý, bảo vệ công trình quốc phòng và khu quân sự.</w:t>
      </w:r>
    </w:p>
    <w:p w14:paraId="5ABD9F7F"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Công trình quốc phòng là công trình xây dựng, địa hình, địa vật tự nhiên được xác định, cải tạo do Quân đội nhân dân, cơ quan, tổ chức được giao quản lý, bảo vệ để phục vụ cho hoạt động quân sự, quốc phòng, phòng thủ bảo vệ Tổ quốc. Công trình quốc phòng có thể nằm trong hoặc ngoài khu quân sự.</w:t>
      </w:r>
    </w:p>
    <w:p w14:paraId="379CA966"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Khu quân sự là khu vực có giới hạn được thiết lập trên mặt đất, trong lòng đất, trên mặt nước, dưới mặt nước, trên không, xác định chuyên dùng cho mục đích quân sự, quốc phòng.</w:t>
      </w:r>
    </w:p>
    <w:p w14:paraId="101B74DD"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lastRenderedPageBreak/>
        <w:t>Nguyên tắc quản lý, bảo vệ công trình quốc phòng và khu quân sự</w:t>
      </w:r>
    </w:p>
    <w:p w14:paraId="085F0EB7"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Tuân thủ Hiến pháp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14:paraId="41C4407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là nhiệm vụ trọng yếu, thường xuyên, là trách nhiệm của toàn dân, của cả hệ thống chính trị, trong đó Quân đội nhân dân làm nòng cốt.</w:t>
      </w:r>
    </w:p>
    <w:p w14:paraId="20E93793"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Kết hợp quản lý, bảo vệ công trình quốc phòng và khu quân sự với phát triển kinh tế - xã hội, gắn phát triển kinh tế - xã hội với quản lý, bảo vệ công trình quốc phòng và khu quân sự.</w:t>
      </w:r>
    </w:p>
    <w:p w14:paraId="2E05B3EE"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14:paraId="16ECE16D" w14:textId="364A775B" w:rsidR="009E124D" w:rsidRPr="00B11C82"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Luật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01/01/2025</w:t>
      </w:r>
    </w:p>
    <w:p w14:paraId="0D072455" w14:textId="6648C006" w:rsidR="00A16B08" w:rsidRDefault="00F01323" w:rsidP="00A11AC3">
      <w:pPr>
        <w:spacing w:after="0" w:line="240"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29" w:history="1">
        <w:r w:rsidR="00002C5D" w:rsidRPr="00002C5D">
          <w:rPr>
            <w:rStyle w:val="Hyperlink"/>
            <w:rFonts w:ascii="Times New Roman" w:hAnsi="Times New Roman" w:cs="Times New Roman"/>
            <w:b/>
            <w:bCs/>
            <w:color w:val="000000" w:themeColor="text1"/>
            <w:sz w:val="28"/>
            <w:szCs w:val="28"/>
            <w:u w:val="none"/>
          </w:rPr>
          <w:t>56/2024/QH15</w:t>
        </w:r>
      </w:hyperlink>
    </w:p>
    <w:p w14:paraId="7F893637" w14:textId="77777777" w:rsidR="00002C5D" w:rsidRPr="00002C5D" w:rsidRDefault="00002C5D" w:rsidP="00A11AC3">
      <w:pPr>
        <w:spacing w:after="0" w:line="240" w:lineRule="auto"/>
        <w:ind w:firstLine="360"/>
        <w:jc w:val="both"/>
        <w:rPr>
          <w:rFonts w:ascii="Times New Roman" w:hAnsi="Times New Roman" w:cs="Times New Roman"/>
          <w:i/>
          <w:iCs/>
          <w:sz w:val="28"/>
          <w:szCs w:val="28"/>
        </w:rPr>
      </w:pPr>
      <w:r w:rsidRPr="00002C5D">
        <w:rPr>
          <w:rFonts w:ascii="Times New Roman" w:hAnsi="Times New Roman" w:cs="Times New Roman"/>
          <w:i/>
          <w:iCs/>
          <w:sz w:val="28"/>
          <w:szCs w:val="28"/>
        </w:rPr>
        <w:t>Bổ sung quy định về quản lý thuế đối với hoạt động kinh doanh thương mại điện tử</w:t>
      </w:r>
    </w:p>
    <w:p w14:paraId="4DF1E699"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color w:val="000000" w:themeColor="text1"/>
          <w:sz w:val="28"/>
          <w:szCs w:val="28"/>
        </w:rPr>
        <w:t>Đáng chú ý, </w:t>
      </w:r>
      <w:hyperlink r:id="rId30" w:history="1">
        <w:r w:rsidRPr="00002C5D">
          <w:rPr>
            <w:rStyle w:val="Hyperlink"/>
            <w:rFonts w:ascii="Times New Roman" w:hAnsi="Times New Roman" w:cs="Times New Roman"/>
            <w:color w:val="000000" w:themeColor="text1"/>
            <w:sz w:val="28"/>
            <w:szCs w:val="28"/>
            <w:u w:val="none"/>
          </w:rPr>
          <w:t>Luật số 56/2024/QH15</w:t>
        </w:r>
      </w:hyperlink>
      <w:r w:rsidRPr="00002C5D">
        <w:rPr>
          <w:rFonts w:ascii="Times New Roman" w:hAnsi="Times New Roman" w:cs="Times New Roman"/>
          <w:color w:val="000000" w:themeColor="text1"/>
          <w:sz w:val="28"/>
          <w:szCs w:val="28"/>
        </w:rPr>
        <w:t> đã sửa đổi, bổ sung một số điều của </w:t>
      </w:r>
      <w:hyperlink r:id="rId31" w:history="1">
        <w:r w:rsidRPr="00002C5D">
          <w:rPr>
            <w:rStyle w:val="Hyperlink"/>
            <w:rFonts w:ascii="Times New Roman" w:hAnsi="Times New Roman" w:cs="Times New Roman"/>
            <w:color w:val="000000" w:themeColor="text1"/>
            <w:sz w:val="28"/>
            <w:szCs w:val="28"/>
            <w:u w:val="none"/>
          </w:rPr>
          <w:t>Luật Quản lý thuế 2019</w:t>
        </w:r>
      </w:hyperlink>
      <w:r w:rsidRPr="00002C5D">
        <w:rPr>
          <w:rFonts w:ascii="Times New Roman" w:hAnsi="Times New Roman" w:cs="Times New Roman"/>
          <w:color w:val="000000" w:themeColor="text1"/>
          <w:sz w:val="28"/>
          <w:szCs w:val="28"/>
        </w:rPr>
        <w:t xml:space="preserve">. Trong đó, có quy định liên quan đến việc quản lý thuế đối với hoạt động kinh doanh </w:t>
      </w:r>
      <w:r w:rsidRPr="00002C5D">
        <w:rPr>
          <w:rFonts w:ascii="Times New Roman" w:hAnsi="Times New Roman" w:cs="Times New Roman"/>
          <w:sz w:val="28"/>
          <w:szCs w:val="28"/>
        </w:rPr>
        <w:t>thương mại điện tử. Cụ thể: </w:t>
      </w:r>
    </w:p>
    <w:p w14:paraId="542856EB"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p>
    <w:p w14:paraId="2A9B5F5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w:t>
      </w:r>
    </w:p>
    <w:p w14:paraId="25A4A07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Trường hợp hộ, cá nhân có hoạt động kinh doanh trên nền tảng thương mại điện tử, nền tảng số không thuộc đối tượng được khấu trừ, nộp thuế thay thì có nghĩa vụ trực tiếp đăng ký thuế, khai thuế, nộp thuế.</w:t>
      </w:r>
    </w:p>
    <w:p w14:paraId="37AD8AC4"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xml:space="preserve">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w:t>
      </w:r>
      <w:r w:rsidRPr="00002C5D">
        <w:rPr>
          <w:rFonts w:ascii="Times New Roman" w:hAnsi="Times New Roman" w:cs="Times New Roman"/>
          <w:sz w:val="28"/>
          <w:szCs w:val="28"/>
        </w:rPr>
        <w:lastRenderedPageBreak/>
        <w:t>hộ, cá nhân có hoạt động kinh doanh trên nền tảng thương mại điện tử, nền tảng số.</w:t>
      </w:r>
    </w:p>
    <w:p w14:paraId="42BDEC43" w14:textId="1DA728AB" w:rsidR="009E124D" w:rsidRPr="00B11C82" w:rsidRDefault="00002C5D" w:rsidP="00A11AC3">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9FB3CCB" w14:textId="36F10A0E" w:rsidR="009E124D" w:rsidRPr="00A16B08" w:rsidRDefault="009E124D" w:rsidP="00A11AC3">
      <w:pPr>
        <w:spacing w:after="0" w:line="240"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32" w:tgtFrame="_blank" w:history="1">
        <w:r w:rsidR="009659C9" w:rsidRPr="009659C9">
          <w:t xml:space="preserve"> </w:t>
        </w:r>
        <w:r w:rsidR="00002C5D" w:rsidRPr="00002C5D">
          <w:rPr>
            <w:rFonts w:ascii="Times New Roman" w:hAnsi="Times New Roman" w:cs="Times New Roman"/>
            <w:b/>
            <w:bCs/>
            <w:sz w:val="28"/>
            <w:szCs w:val="28"/>
          </w:rPr>
          <w:t>Luật Đầu tư công của Quốc hội, số 58/2024/QH15</w:t>
        </w:r>
        <w:r w:rsidR="00D534A5" w:rsidRPr="009659C9">
          <w:rPr>
            <w:rStyle w:val="Hyperlink"/>
            <w:rFonts w:ascii="Times New Roman" w:hAnsi="Times New Roman" w:cs="Times New Roman"/>
            <w:b/>
            <w:bCs/>
            <w:color w:val="000000"/>
            <w:sz w:val="36"/>
            <w:szCs w:val="36"/>
            <w:u w:val="none"/>
          </w:rPr>
          <w:t xml:space="preserve"> </w:t>
        </w:r>
      </w:hyperlink>
    </w:p>
    <w:p w14:paraId="796A088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căn cứ mức độ quan trọng và quy mô, dự án đầu tư công được phân loại thành dự án quan trọng quốc gia, dự án nhóm A, dự án nhóm B, dự án nhóm C theo các tiêu chí sau:</w:t>
      </w:r>
    </w:p>
    <w:p w14:paraId="73D6B3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quan trọng quốc gia</w:t>
      </w:r>
    </w:p>
    <w:p w14:paraId="0EB340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Dự án quan trọng quốc gia là dự án đầu tư độc lập hoặc cụm công trình liên kết chặt chẽ với nhau thuộc một trong các tiêu chí sau đây:</w:t>
      </w:r>
    </w:p>
    <w:p w14:paraId="0DC045B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vốn đầu tư công từ 30.000 tỷ đồng trở lên;</w:t>
      </w:r>
    </w:p>
    <w:p w14:paraId="243ED41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Ảnh hưởng lớn đến môi trường hoặc tiềm ẩn khả năng ảnh hưởng nghiêm trọng đến môi trường, bao gồm:</w:t>
      </w:r>
    </w:p>
    <w:p w14:paraId="195C78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Nhà máy điện hạt nhân;</w:t>
      </w:r>
    </w:p>
    <w:p w14:paraId="0B975FB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rừng đặc dụng từ 50 ha trở lên; rừng phòng hộ đầu nguồn, rừng phòng hộ biên giới từ 50 ha trở lên; rừng phòng hộ chắn gió, chắn cát bay, chắn sóng, lấn biển từ 500 ha trở lên; rừng sản xuất từ 1.000 ha trở lên;</w:t>
      </w:r>
    </w:p>
    <w:p w14:paraId="493F6D2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trồng lúa nước từ hai vụ trở lên với quy mô từ 500 ha trở lên;</w:t>
      </w:r>
    </w:p>
    <w:p w14:paraId="214B7F8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Di dân tái định cư từ 20.000 người trở lên ở miền núi, từ 50.000 người trở lên ở các vùng khác;</w:t>
      </w:r>
    </w:p>
    <w:p w14:paraId="686862B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đòi hỏi phải áp dụng cơ chế, chính sách đặc biệt cần được Quốc hội quyết định.</w:t>
      </w:r>
    </w:p>
    <w:p w14:paraId="07A0E0C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nhóm A</w:t>
      </w:r>
    </w:p>
    <w:p w14:paraId="41DCE0C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Trừ dự án quan trọng quốc gia quy định tại Điều 8 </w:t>
      </w:r>
      <w:hyperlink r:id="rId33"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 dự án thuộc một trong các tiêu chí sau đây là dự án nhóm A:</w:t>
      </w:r>
    </w:p>
    <w:p w14:paraId="51A816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không phân biệt tổng mức đầu tư thuộc một trong các trường hợp sau đây:</w:t>
      </w:r>
    </w:p>
    <w:p w14:paraId="3887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sản xuất chất độc hại, chất nổ, trừ dự án sản xuất chất độc hại, chất nổ thuộc lĩnh vực quốc phòng, an ninh;</w:t>
      </w:r>
    </w:p>
    <w:p w14:paraId="30FB27B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hạ tầng khu công nghiệp, khu chế xuất, khu công nghệ cao;</w:t>
      </w:r>
    </w:p>
    <w:p w14:paraId="2E2F75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4.600 tỷ đồng trở lên thuộc lĩnh vực sau đây:</w:t>
      </w:r>
    </w:p>
    <w:p w14:paraId="6DC1E0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bao gồm cầu, cảng biển, cảng sông, sân bay, đường sắt, đường quốc lộ;</w:t>
      </w:r>
    </w:p>
    <w:p w14:paraId="41E00D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điện;</w:t>
      </w:r>
    </w:p>
    <w:p w14:paraId="4B82AE0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dầu khí;</w:t>
      </w:r>
    </w:p>
    <w:p w14:paraId="6F5B7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chất, phân bón, xi măng;</w:t>
      </w:r>
    </w:p>
    <w:p w14:paraId="23ADA86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Chế tạo máy, luyện kim;</w:t>
      </w:r>
    </w:p>
    <w:p w14:paraId="5821927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chế biến khoáng sản;</w:t>
      </w:r>
    </w:p>
    <w:p w14:paraId="1AFDA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khu nhà ở;</w:t>
      </w:r>
    </w:p>
    <w:p w14:paraId="10B8F6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3.000 tỷ đồng trở lên thuộc lĩnh vực sau đây:</w:t>
      </w:r>
    </w:p>
    <w:p w14:paraId="22C4BDA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trừ dự án quy định tại điểm a khoản 2 Điều 9 </w:t>
      </w:r>
      <w:hyperlink r:id="rId34"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70AC4A1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Thủy lợi, phòng chống thiên tai;</w:t>
      </w:r>
    </w:p>
    <w:p w14:paraId="1CA43F5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Cấp thoát nước, xử lý rác thải và công trình hạ tầng kỹ thuật khác;</w:t>
      </w:r>
    </w:p>
    <w:p w14:paraId="641D8E7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Kỹ thuật điện;</w:t>
      </w:r>
    </w:p>
    <w:p w14:paraId="5CEE6F9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thiết bị thông tin, điện tử;</w:t>
      </w:r>
    </w:p>
    <w:p w14:paraId="423C25A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dược;</w:t>
      </w:r>
    </w:p>
    <w:p w14:paraId="187D9F8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vật liệu, trừ dự án quy định tại điểm d khoản 2 Điều 9 </w:t>
      </w:r>
      <w:hyperlink r:id="rId35"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265D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trình cơ khí, trừ dự án quy định tại điểm đ khoản 2 Điều 9 </w:t>
      </w:r>
      <w:hyperlink r:id="rId36"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BB91E2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Bưu chính, viễn thông;</w:t>
      </w:r>
    </w:p>
    <w:p w14:paraId="67C5863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2.000 tỷ đồng trở lên thuộc lĩnh vực sau đây:</w:t>
      </w:r>
    </w:p>
    <w:p w14:paraId="1FBAEE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nông nghiệp, lâm nghiệp, diêm nghiệp, nuôi trồng thủy sản;</w:t>
      </w:r>
    </w:p>
    <w:p w14:paraId="616DF3F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Vườn quốc gia, khu bảo tồn thiên nhiên;</w:t>
      </w:r>
    </w:p>
    <w:p w14:paraId="5234FEB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Hạ tầng kỹ thuật khu đô thị mới;</w:t>
      </w:r>
    </w:p>
    <w:p w14:paraId="561D280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trừ dự án thuộc lĩnh vực công nghiệp quy định tại các khoản 1, 2 và 3 Điều 9 </w:t>
      </w:r>
      <w:hyperlink r:id="rId37" w:history="1">
        <w:r w:rsidRPr="00002C5D">
          <w:rPr>
            <w:rStyle w:val="Hyperlink"/>
            <w:rFonts w:ascii="Times New Roman" w:hAnsi="Times New Roman" w:cs="Times New Roman"/>
            <w:color w:val="000000" w:themeColor="text1"/>
            <w:sz w:val="28"/>
            <w:szCs w:val="28"/>
            <w:u w:val="none"/>
          </w:rPr>
          <w:t>Luật Đầu tư công 2024;</w:t>
        </w:r>
      </w:hyperlink>
    </w:p>
    <w:p w14:paraId="37952AB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1.600 tỷ đồng trở lên thuộc lĩnh vực sau đây:</w:t>
      </w:r>
    </w:p>
    <w:p w14:paraId="7094CC0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Y tế, văn hóa, xã hội, thông tin, giáo dục;</w:t>
      </w:r>
    </w:p>
    <w:p w14:paraId="17650E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Nghiên cứu khoa học, môi trường, công nghệ thông tin, phát thanh, truyền hình, tài chính, ngân hàng;</w:t>
      </w:r>
    </w:p>
    <w:p w14:paraId="1AEC0C9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Kho tàng;</w:t>
      </w:r>
    </w:p>
    <w:p w14:paraId="6CAAEC3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Du lịch, thể dục, thể thao;</w:t>
      </w:r>
    </w:p>
    <w:p w14:paraId="7435F0F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dân dụng, trừ xây dựng khu nhà ở quy định tại điểm g khoản 2 Điều 9 </w:t>
      </w:r>
      <w:hyperlink r:id="rId38"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2CE318D" w14:textId="2A1BD3AA" w:rsidR="009659C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thuộc lĩnh vực quốc phòng, an ninh, trừ dự án quy định tại các khoản 1, 2, 3 và 4 Điều 9 </w:t>
      </w:r>
      <w:hyperlink r:id="rId39"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46D81617" w14:textId="0873761C" w:rsidR="00E460F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51D0863" w14:textId="5E25C177" w:rsidR="005A5D32" w:rsidRPr="009659C9" w:rsidRDefault="005A5D32" w:rsidP="00A11AC3">
      <w:pPr>
        <w:spacing w:after="0" w:line="240"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002C5D" w:rsidRPr="00002C5D">
        <w:rPr>
          <w:rFonts w:ascii="Times New Roman" w:hAnsi="Times New Roman" w:cs="Times New Roman"/>
          <w:b/>
          <w:bCs/>
          <w:sz w:val="28"/>
          <w:szCs w:val="28"/>
        </w:rPr>
        <w:t>Luật sửa đổi, bổ sung một số điều của Luật Quy hoạch, Luật Đầu tư, Luật Đầu tư theo phương thức đối tác công tư và Luật Đấu thầu của Quốc hội, số 57/2024/QH15</w:t>
      </w:r>
    </w:p>
    <w:p w14:paraId="611A941A" w14:textId="77777777" w:rsidR="00002C5D" w:rsidRPr="00002C5D" w:rsidRDefault="005A5D32"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ab/>
      </w:r>
      <w:r w:rsidR="00002C5D" w:rsidRPr="00002C5D">
        <w:rPr>
          <w:rFonts w:ascii="Times New Roman" w:hAnsi="Times New Roman" w:cs="Times New Roman"/>
          <w:color w:val="000000" w:themeColor="text1"/>
          <w:sz w:val="28"/>
          <w:szCs w:val="28"/>
        </w:rPr>
        <w:t>Theo đó, Luật số </w:t>
      </w:r>
      <w:hyperlink r:id="rId40" w:history="1">
        <w:r w:rsidR="00002C5D" w:rsidRPr="00002C5D">
          <w:rPr>
            <w:rStyle w:val="Hyperlink"/>
            <w:rFonts w:ascii="Times New Roman" w:hAnsi="Times New Roman" w:cs="Times New Roman"/>
            <w:color w:val="000000" w:themeColor="text1"/>
            <w:sz w:val="28"/>
            <w:szCs w:val="28"/>
            <w:u w:val="none"/>
          </w:rPr>
          <w:t>57/2024/QH15</w:t>
        </w:r>
      </w:hyperlink>
      <w:r w:rsidR="00002C5D" w:rsidRPr="00002C5D">
        <w:rPr>
          <w:rFonts w:ascii="Times New Roman" w:hAnsi="Times New Roman" w:cs="Times New Roman"/>
          <w:color w:val="000000" w:themeColor="text1"/>
          <w:sz w:val="28"/>
          <w:szCs w:val="28"/>
        </w:rPr>
        <w:t> bổ sung Điều 36a (Thủ tục đầu tư đặc biệt) vào sau Điều 36 trong Mục 2 Chương IV </w:t>
      </w:r>
      <w:hyperlink r:id="rId41" w:history="1">
        <w:r w:rsidR="00002C5D" w:rsidRPr="00002C5D">
          <w:rPr>
            <w:rStyle w:val="Hyperlink"/>
            <w:rFonts w:ascii="Times New Roman" w:hAnsi="Times New Roman" w:cs="Times New Roman"/>
            <w:color w:val="000000" w:themeColor="text1"/>
            <w:sz w:val="28"/>
            <w:szCs w:val="28"/>
            <w:u w:val="none"/>
          </w:rPr>
          <w:t>Luật Đầu tư 2020</w:t>
        </w:r>
      </w:hyperlink>
      <w:r w:rsidR="00002C5D" w:rsidRPr="00002C5D">
        <w:rPr>
          <w:rFonts w:ascii="Times New Roman" w:hAnsi="Times New Roman" w:cs="Times New Roman"/>
          <w:color w:val="000000" w:themeColor="text1"/>
          <w:sz w:val="28"/>
          <w:szCs w:val="28"/>
        </w:rPr>
        <w:t>.</w:t>
      </w:r>
    </w:p>
    <w:p w14:paraId="53B098B7" w14:textId="77777777" w:rsidR="00002C5D" w:rsidRPr="00002C5D" w:rsidRDefault="00002C5D"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Cụ thể, trừ các dự án đầu tư quy định tại Điều 30 của </w:t>
      </w:r>
      <w:hyperlink r:id="rId42" w:history="1">
        <w:r w:rsidRPr="00002C5D">
          <w:rPr>
            <w:rStyle w:val="Hyperlink"/>
            <w:rFonts w:ascii="Times New Roman" w:hAnsi="Times New Roman" w:cs="Times New Roman"/>
            <w:color w:val="000000" w:themeColor="text1"/>
            <w:sz w:val="28"/>
            <w:szCs w:val="28"/>
            <w:u w:val="none"/>
          </w:rPr>
          <w:t>Luật Đầu tư 2020</w:t>
        </w:r>
      </w:hyperlink>
      <w:r w:rsidRPr="00002C5D">
        <w:rPr>
          <w:rFonts w:ascii="Times New Roman" w:hAnsi="Times New Roman" w:cs="Times New Roman"/>
          <w:color w:val="000000" w:themeColor="text1"/>
          <w:sz w:val="28"/>
          <w:szCs w:val="28"/>
        </w:rPr>
        <w:t>, nhà đầu tư được quyền lựa chọn đăng ký đầu tư theo quy định tại Điều 36a đối với các dự án tại khu công nghiệp, khu chế xuất, khu công nghệ cao, khu công nghệ thông tin tập trung, khu thương mại tự do và khu chức năng trong khu kinh tế trong các lĩnh vực sau đây:</w:t>
      </w:r>
    </w:p>
    <w:p w14:paraId="38DF743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32F50180" w14:textId="5AC37FC6" w:rsidR="006D1EA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ml:space="preserve">- Đầu tư trong lĩnh vực công nghệ cao được ưu tiên đầu tư phát triển, sản xuất sản phẩm thuộc danh mục sản phẩm công nghệ cao được khuyến khích phát triển theo quyết định của Thủ tướng Chính </w:t>
      </w:r>
      <w:r w:rsidRPr="00002C5D">
        <w:rPr>
          <w:rFonts w:ascii="Times New Roman" w:hAnsi="Times New Roman" w:cs="Times New Roman"/>
          <w:color w:val="000000" w:themeColor="text1"/>
          <w:sz w:val="28"/>
          <w:szCs w:val="28"/>
        </w:rPr>
        <w:t>phủ</w:t>
      </w:r>
    </w:p>
    <w:p w14:paraId="4A8E2207" w14:textId="509880DE" w:rsidR="005A5D32"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Luật </w:t>
      </w:r>
      <w:r w:rsidR="005A5D32"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15/01/2025</w:t>
      </w:r>
    </w:p>
    <w:p w14:paraId="64D8DB7E" w14:textId="22342DB2" w:rsidR="009659C9" w:rsidRPr="00002C5D" w:rsidRDefault="005A5D32" w:rsidP="00A11AC3">
      <w:pPr>
        <w:tabs>
          <w:tab w:val="left" w:pos="567"/>
          <w:tab w:val="left" w:pos="1134"/>
        </w:tabs>
        <w:spacing w:after="0" w:line="240" w:lineRule="auto"/>
        <w:jc w:val="both"/>
        <w:rPr>
          <w:color w:val="000000" w:themeColor="text1"/>
        </w:rPr>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43" w:tgtFrame="_blank" w:history="1">
        <w:r w:rsidR="009659C9" w:rsidRPr="009659C9">
          <w:rPr>
            <w:rFonts w:ascii="Times New Roman" w:hAnsi="Times New Roman" w:cs="Times New Roman"/>
            <w:b/>
            <w:bCs/>
            <w:sz w:val="28"/>
            <w:szCs w:val="28"/>
          </w:rPr>
          <w:t xml:space="preserve"> </w:t>
        </w:r>
        <w:hyperlink r:id="rId44" w:history="1">
          <w:r w:rsidR="00002C5D" w:rsidRPr="00002C5D">
            <w:rPr>
              <w:rStyle w:val="Hyperlink"/>
              <w:rFonts w:ascii="Times New Roman" w:hAnsi="Times New Roman" w:cs="Times New Roman"/>
              <w:b/>
              <w:bCs/>
              <w:color w:val="000000" w:themeColor="text1"/>
              <w:sz w:val="28"/>
              <w:szCs w:val="28"/>
              <w:u w:val="none"/>
            </w:rPr>
            <w:t>Nghị quyết 174/2024/QH15 của Quốc hội Kỳ họp thứ 8, Quốc hội khóa XV</w:t>
          </w:r>
        </w:hyperlink>
        <w:r w:rsidR="006D1EA9" w:rsidRPr="00002C5D">
          <w:rPr>
            <w:rStyle w:val="Hyperlink"/>
            <w:rFonts w:ascii="Times New Roman" w:hAnsi="Times New Roman" w:cs="Times New Roman"/>
            <w:b/>
            <w:bCs/>
            <w:color w:val="000000" w:themeColor="text1"/>
            <w:sz w:val="44"/>
            <w:szCs w:val="44"/>
            <w:u w:val="none"/>
          </w:rPr>
          <w:t xml:space="preserve"> </w:t>
        </w:r>
      </w:hyperlink>
    </w:p>
    <w:p w14:paraId="41DB8A76" w14:textId="77777777" w:rsidR="00002C5D" w:rsidRPr="00002C5D" w:rsidRDefault="00002C5D" w:rsidP="00A11AC3">
      <w:pPr>
        <w:spacing w:after="0" w:line="240" w:lineRule="auto"/>
        <w:ind w:firstLine="720"/>
        <w:jc w:val="both"/>
        <w:rPr>
          <w:rFonts w:ascii="Times New Roman" w:hAnsi="Times New Roman" w:cs="Times New Roman"/>
          <w:b/>
          <w:bCs/>
          <w:sz w:val="28"/>
          <w:szCs w:val="28"/>
        </w:rPr>
      </w:pPr>
      <w:r w:rsidRPr="00002C5D">
        <w:rPr>
          <w:rFonts w:ascii="Times New Roman" w:hAnsi="Times New Roman" w:cs="Times New Roman"/>
          <w:b/>
          <w:bCs/>
          <w:sz w:val="28"/>
          <w:szCs w:val="28"/>
        </w:rPr>
        <w:t>Quốc hội quyết nghị giảm 2% thuế suất thuế GTGT</w:t>
      </w:r>
    </w:p>
    <w:p w14:paraId="1E5BA35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tại nội dung Nghị quyết, Quốc hội đã quyết nghị tiếp tục giảm 2% thuế suất thuế giá trị gia tăng đối với các nhóm hàng hóa, dịch vụ quy định tại điểm a mục 1.1 khoản 1 Điều 3 của Nghị quyết </w:t>
      </w:r>
      <w:hyperlink r:id="rId45" w:history="1">
        <w:r w:rsidRPr="00002C5D">
          <w:rPr>
            <w:rStyle w:val="Hyperlink"/>
            <w:rFonts w:ascii="Times New Roman" w:hAnsi="Times New Roman" w:cs="Times New Roman"/>
            <w:sz w:val="28"/>
            <w:szCs w:val="28"/>
          </w:rPr>
          <w:t>43/2022/QH15</w:t>
        </w:r>
      </w:hyperlink>
      <w:r w:rsidRPr="00002C5D">
        <w:rPr>
          <w:rFonts w:ascii="Times New Roman" w:hAnsi="Times New Roman" w:cs="Times New Roman"/>
          <w:sz w:val="28"/>
          <w:szCs w:val="28"/>
        </w:rPr>
        <w:t> của Quốc hội về chính sách tài khóa, tiền tệ hỗ trợ Chương trình phục hồi và phát triển kinh tế - xã hội trong thời gian từ ngày 01/01/2025 đến hết ngày 30/6/2025 đối với nhóm hàng hóa, dịch vụ sau:</w:t>
      </w:r>
    </w:p>
    <w:p w14:paraId="3C97001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Hàng hóa, dịch vụ đang áp dụng thuế suất thuế GTGT 10% được giảm xuống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07EBACB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Ngoài ra, Quốc hội cũng quyết nghị thông qua một số chính sách sau:</w:t>
      </w:r>
    </w:p>
    <w:p w14:paraId="774D45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Quốc hội thông qua 18 luật và 21 nghị quyết; cho ý kiến lần đầu đối với 10 dự án luật.</w:t>
      </w:r>
    </w:p>
    <w:p w14:paraId="6A670D4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Chấm dứt ngay hiệu lực của quy định miễn thuế giá trị gia tăng trong Quyết định 78/2010/QĐ-TTg của Thủ tướng Chính phủ, làm cơ sở cho cơ quan quản lý thuế có căn cứ pháp lý và chế tài quản lý thu đối với các sàn thương mại điện tử nước ngoài bán hàng hóa vào Việt Nam.</w:t>
      </w:r>
    </w:p>
    <w:p w14:paraId="0E764DD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Tiếp tục thực hiện chủ trương đầu tư Dự án điện hạt nhân Ninh Thuận theo Tờ trình của Chính phủ.</w:t>
      </w:r>
    </w:p>
    <w:p w14:paraId="6B941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Giao Chính phủ khẩn trương chỉ đạo bố trí nguồn lực thực hiện theo kết luận của cấp có thẩm quyền; nghiên cứu sửa đổi, bổ sung các luật có liên quan, trong đó có Luật Năng lượng nguyên tử.</w:t>
      </w:r>
    </w:p>
    <w:p w14:paraId="4CBB88F2" w14:textId="77777777" w:rsidR="00002C5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quyết </w:t>
      </w:r>
      <w:r w:rsidR="00504374">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14/01/2025</w:t>
      </w:r>
    </w:p>
    <w:p w14:paraId="3B73464B" w14:textId="57272A20" w:rsidR="006D1EA9" w:rsidRPr="00002C5D" w:rsidRDefault="00BC6222" w:rsidP="00A11AC3">
      <w:pPr>
        <w:spacing w:after="0" w:line="240" w:lineRule="auto"/>
        <w:ind w:firstLine="567"/>
        <w:jc w:val="both"/>
        <w:rPr>
          <w:color w:val="000000" w:themeColor="text1"/>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002C5D" w:rsidRPr="00002C5D">
        <w:t xml:space="preserve"> </w:t>
      </w:r>
      <w:r w:rsidR="00002C5D" w:rsidRPr="00002C5D">
        <w:rPr>
          <w:rFonts w:ascii="Times New Roman" w:hAnsi="Times New Roman" w:cs="Times New Roman"/>
          <w:b/>
          <w:bCs/>
          <w:sz w:val="28"/>
          <w:szCs w:val="28"/>
        </w:rPr>
        <w:t>Nghị định 151/2024/NĐ-CP của Chính phủ quy định chi tiết một số điều và biện pháp thi hành Luật Trật tự, an toàn giao thông đường bộ</w:t>
      </w:r>
    </w:p>
    <w:p w14:paraId="26329B13" w14:textId="77777777" w:rsidR="00002C5D" w:rsidRPr="00002C5D" w:rsidRDefault="00BC6222" w:rsidP="00A11AC3">
      <w:pPr>
        <w:spacing w:after="0" w:line="240"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002C5D">
        <w:rPr>
          <w:rFonts w:ascii="Times New Roman" w:eastAsia="Times New Roman" w:hAnsi="Times New Roman" w:cs="Times New Roman"/>
          <w:color w:val="000000"/>
          <w:sz w:val="18"/>
          <w:szCs w:val="18"/>
        </w:rPr>
        <w:t xml:space="preserve"> </w:t>
      </w:r>
      <w:r w:rsidR="00002C5D" w:rsidRPr="00002C5D">
        <w:rPr>
          <w:rFonts w:ascii="Times New Roman" w:hAnsi="Times New Roman" w:cs="Times New Roman"/>
          <w:bCs/>
          <w:sz w:val="28"/>
          <w:szCs w:val="28"/>
        </w:rPr>
        <w:t>Nghị định 151/2024/NĐ-CP quy định chi tiết một số điều và biện pháp thi hành </w:t>
      </w:r>
      <w:hyperlink r:id="rId46" w:history="1">
        <w:r w:rsidR="00002C5D" w:rsidRPr="00002C5D">
          <w:rPr>
            <w:rStyle w:val="Hyperlink"/>
            <w:rFonts w:ascii="Times New Roman" w:hAnsi="Times New Roman" w:cs="Times New Roman"/>
            <w:bCs/>
            <w:sz w:val="28"/>
            <w:szCs w:val="28"/>
          </w:rPr>
          <w:t>Luật Trật tự, an toàn giao thông đường bộ</w:t>
        </w:r>
      </w:hyperlink>
      <w:r w:rsidR="00002C5D" w:rsidRPr="00002C5D">
        <w:rPr>
          <w:rFonts w:ascii="Times New Roman" w:hAnsi="Times New Roman" w:cs="Times New Roman"/>
          <w:bCs/>
          <w:sz w:val="28"/>
          <w:szCs w:val="28"/>
        </w:rPr>
        <w:t> gồm:</w:t>
      </w:r>
    </w:p>
    <w:p w14:paraId="7E73FDB1"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Giáo dục kiến thức pháp luật về trật tự, an toàn giao thông đường bộ.</w:t>
      </w:r>
    </w:p>
    <w:p w14:paraId="42D86EA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Cơ sở dữ liệu về trật tự, an toàn giao thông đường bộ; việc thu thập, quản lý, khai thác thông tin trong Cơ sở dữ liệu về trật tự, an toàn giao thông đường bộ.</w:t>
      </w:r>
    </w:p>
    <w:p w14:paraId="041ADAF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Quản lý, lắp đặt, sử dụng thiết bị phát tín hiệu của xe ưu tiên và trình tự, thủ tục cấp mới, cấp lại, thu hồi giấy phép sử dụng thiết bị phát tín hiệu của xe ưu tiên.</w:t>
      </w:r>
    </w:p>
    <w:p w14:paraId="154EC95D"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Lắp đặt thiết bị giám sát hành trình đối với xe ô tô kinh doanh vận tải; lắp đặt thiết bị giám sát hành trình và thiết bị ghi nhận hình ảnh người lái xe đối với xe ô tô chở người từ 08 chỗ trở lên (không kể chỗ của người lái xe) kinh doanh vận tải, xe ô tô đầu kéo, xe cứu thương, xe cứu hộ giao thông; điều kiện hoạt động của phương tiện giao thông thông minh; điều kiện hoạt động của xe thô sơ.</w:t>
      </w:r>
    </w:p>
    <w:p w14:paraId="0A8FBEE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lastRenderedPageBreak/>
        <w:t>- Màu sơn của xe ô tô kinh doanh vận tải chở trẻ em mầm non, học sinh.</w:t>
      </w:r>
    </w:p>
    <w:p w14:paraId="479AFCF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Trường hợp cần thiết phải có người, phương tiện hỗ trợ lái xe, cảnh báo cho người, phương tiện tham gia giao thông đường bộ khác và thực hiện các biện pháp bảo đảm an toàn giao thông đối với xe quá khổ giới hạn, xe quá tải trọng, xe bánh xích, xe vận chuyển hàng siêu trường, siêu trọng lưu hành trên đường bộ.</w:t>
      </w:r>
    </w:p>
    <w:p w14:paraId="1FE70B7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Bảo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p>
    <w:p w14:paraId="7DAF7A24"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Ngoài ra, Nghị định 151/2024/NĐ-CP còn ban hành kèm theo các Phụ lục về:</w:t>
      </w:r>
    </w:p>
    <w:p w14:paraId="4FEDB3D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 Yêu cầu kỹ thuật thiết bị phát tín hiệu của xe ưu tiên;</w:t>
      </w:r>
    </w:p>
    <w:p w14:paraId="6D18DCD9"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 Biểu mẫu liên quan đến cấp giấy phép sử dụng thiết bị phát tín hiệu của xe ưu tiên;</w:t>
      </w:r>
    </w:p>
    <w:p w14:paraId="6DDD754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III: Biểu mẫu liên quan đến cấp giấy phép hoạt động phương tiện giao thông thông minh;</w:t>
      </w:r>
    </w:p>
    <w:p w14:paraId="12E8280A" w14:textId="1A6CCF60" w:rsidR="006D1EA9"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IV: Biểu mẫu liên quan đến chấp thuận doanh nghiệp kinh doanh dịch vụ lữ hành quốc tế của Việt Nam tổ chức cho người nước ngoài đưa xe cơ giới nước ngoài vào Việt Nam du lịch; tổ chức, cá nhân đưa xe ô tô có tay lái ở bên phải vào tham gia giao thông tại Việt Nam không phải mục đích du lịch.</w:t>
      </w:r>
    </w:p>
    <w:p w14:paraId="1B7F1B6B" w14:textId="54BABA73" w:rsidR="00BC6222"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sidRPr="00002C5D">
        <w:rPr>
          <w:rFonts w:ascii="Times New Roman" w:hAnsi="Times New Roman" w:cs="Times New Roman"/>
          <w:sz w:val="28"/>
          <w:szCs w:val="28"/>
        </w:rPr>
        <w:t>01/01/2025</w:t>
      </w:r>
    </w:p>
    <w:p w14:paraId="01129D7E" w14:textId="068E4EB4" w:rsidR="00BC6222" w:rsidRPr="00002C5D" w:rsidRDefault="002B16B5" w:rsidP="00A11AC3">
      <w:pPr>
        <w:spacing w:after="0" w:line="240" w:lineRule="auto"/>
        <w:ind w:firstLine="567"/>
        <w:jc w:val="both"/>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002C5D" w:rsidRPr="00002C5D">
        <w:rPr>
          <w:rFonts w:ascii="Times New Roman" w:hAnsi="Times New Roman" w:cs="Times New Roman"/>
          <w:b/>
          <w:bCs/>
          <w:color w:val="000000" w:themeColor="text1"/>
          <w:sz w:val="28"/>
          <w:szCs w:val="28"/>
        </w:rPr>
        <w:t>Nghị định 156/2024/NĐ-CP của Chính phủ quy định về đấu giá biển số xe</w:t>
      </w:r>
    </w:p>
    <w:p w14:paraId="569FA117" w14:textId="13DFF468"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Từ ngày 01/01/2025, bổ sung thêm quy định về đấu giá biển số xe mô tô, xe gắn máy thay vì chỉ có đấu giá biển số xe ô tô như Nghị định 39/2023/NĐ-CP, cụ thể tại Điều 5 như sau:</w:t>
      </w:r>
    </w:p>
    <w:p w14:paraId="44F3D64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 Biển số xe đưa ra đấu giá là biển số xe ô tô, xe mô tô, xe gắn máy được quy định tại điểm c và điểm d khoản 2 Điều 36 </w:t>
      </w:r>
      <w:hyperlink r:id="rId47"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w:t>
      </w:r>
    </w:p>
    <w:p w14:paraId="59715E34"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D37D1F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trắng, chữ và số màu đen cấp cho xe của các tổ chức, cá nhân trong nước, không thuộc đối tượng quy định tại các điểm a, b và c khoản 2 Điều 36 </w:t>
      </w:r>
      <w:hyperlink r:id="rId48"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 như sau:</w:t>
      </w:r>
    </w:p>
    <w:p w14:paraId="11800D10"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xanh, chữ và số màu trắng cấp cho xe của cơ quan Đảng, Nhà nước, tổ chức chính trị - xã hội, đơn vị sự nghiệp công lập;</w:t>
      </w:r>
    </w:p>
    <w:p w14:paraId="7881E82A"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đỏ, chữ và số màu trắng cấp cho xe quân sự;</w:t>
      </w:r>
    </w:p>
    <w:p w14:paraId="2AB48C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B8A1332"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(ii) Bộ trưởng Bộ Công an quyết định số lượng biển số xe đưa ra đấu giá tại mỗi phiên đấu giá, bao gồm biển số xe của các tỉnh, thành phố trực thuộc trung ương, đang trong Hệ thống đăng ký, quản lý xe của Bộ Công an và bổ sung số lượng biển số xe cho Công an các tỉnh, thành phố trực thuộc trung ương trong trường hợp hết biển số xe để đăng ký khi chưa đến phiên đấu giá tiếp theo.</w:t>
      </w:r>
    </w:p>
    <w:p w14:paraId="2B0F61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Chính thức giá khởi điểm đấu giá biển số xe máy từ 05 triệu đồng</w:t>
      </w:r>
    </w:p>
    <w:p w14:paraId="082F3E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lastRenderedPageBreak/>
        <w:t>- Giá khởi điểm của một biển số xe ô tô đưa ra đấu giá là 40 triệu đồng, ba năm tăng một lần tính từ ngày 01/01/2025, mỗi lần tăng 05 triệu đồng.</w:t>
      </w:r>
    </w:p>
    <w:p w14:paraId="1788AC58"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mô tô, xe gắn máy đưa ra đấu giá là 05 triệu đồng, ba năm tăng một lần tính từ ngày 01/01/2025, mỗi lần tăng 01 triệu đồng.</w:t>
      </w:r>
    </w:p>
    <w:p w14:paraId="5DEF9C4E" w14:textId="63C7C0A8" w:rsidR="006D1EA9"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biển số xe có định dạng AAAAA (A&gt;4), ABCDE (A&lt;b&lt;c&lt;d4) đưa ra đấu giá lại sau lần thứ hai là 500 triệu đồng đối với biển số xe ô tô và 50 triệu đồng đối với biển số xe mô tô, xe gắn máy.&lt;/b&lt;c&lt;d</w:t>
      </w:r>
    </w:p>
    <w:p w14:paraId="689AD9F2" w14:textId="31A7F7F3" w:rsidR="006D1EA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01/01/2025</w:t>
      </w:r>
    </w:p>
    <w:p w14:paraId="42F70E68" w14:textId="2419DB11" w:rsidR="006D1EA9" w:rsidRPr="009659C9" w:rsidRDefault="006D1EA9" w:rsidP="00A11AC3">
      <w:pPr>
        <w:spacing w:after="0" w:line="240" w:lineRule="auto"/>
        <w:ind w:firstLine="567"/>
        <w:jc w:val="both"/>
        <w:rPr>
          <w:color w:val="000000" w:themeColor="text1"/>
        </w:rPr>
      </w:pPr>
      <w:r>
        <w:rPr>
          <w:rFonts w:ascii="Times New Roman" w:hAnsi="Times New Roman" w:cs="Times New Roman"/>
          <w:b/>
          <w:bCs/>
          <w:sz w:val="28"/>
          <w:szCs w:val="28"/>
        </w:rPr>
        <w:t xml:space="preserve">15. </w:t>
      </w:r>
      <w:r w:rsidR="00002C5D" w:rsidRPr="00002C5D">
        <w:rPr>
          <w:rFonts w:ascii="Times New Roman" w:hAnsi="Times New Roman" w:cs="Times New Roman"/>
          <w:b/>
          <w:bCs/>
          <w:sz w:val="28"/>
          <w:szCs w:val="28"/>
        </w:rPr>
        <w:t>Nghị định 154/2024/NĐ-CP của Chính phủ quy định chi tiết một số điều và biện pháp thi hành Luật Cư trú</w:t>
      </w:r>
    </w:p>
    <w:p w14:paraId="464FDDD4" w14:textId="7777777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sidRPr="00002C5D">
        <w:rPr>
          <w:color w:val="212529"/>
          <w:sz w:val="28"/>
          <w:szCs w:val="28"/>
          <w:lang w:val="vi-VN"/>
        </w:rPr>
        <w:t>Ngày 26/11/2024, Chính phủ ban hành Nghị định 154/2024/NĐ-CP quy định chi tiết một số điều và biện pháp thi hành Luật Cư trú. Dưới đây là một số nội dung đáng chú ý:</w:t>
      </w:r>
    </w:p>
    <w:p w14:paraId="00FDFA97" w14:textId="0A782D05"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thường trú là một trong các giấy tờ, tài liệu sau:</w:t>
      </w:r>
    </w:p>
    <w:p w14:paraId="2A832DE7" w14:textId="7A324F10"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chứng nhận về quyền sử dụng đất, quyền sở hữu tài sản gắn liền với đất do cơ quan có thẩm quyền cấp qua các thời kỳ theo quy định của pháp luật về đất đai và nhà ở;</w:t>
      </w:r>
    </w:p>
    <w:p w14:paraId="0584AF7E" w14:textId="3EB68A8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phép xây dựng nhà ở hoặc giấy phép xây dựng nhà ở có thời hạn đối với trường hợp phải xin giấy xây dựng theo quy định theo quy định của pháp luật về xây dựng;</w:t>
      </w:r>
    </w:p>
    <w:p w14:paraId="4E4D3912" w14:textId="71C5123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mua bán nhà ở hoặc sở hữu nhà nước hoặc giấy tờ về hóa giá, thanh lý nhà ở gắn liền với đất ở thuộc sở hữu Nhà nước theo quy định của pháp luật;</w:t>
      </w:r>
    </w:p>
    <w:p w14:paraId="039343E4" w14:textId="58580C94"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Hợp đồng mua bán nhà ở hoặc giấy tờ chứng minh việc đã bàn giao nhà ở hoặc đã nhận nhà ở của doanh nghiệp kinh doanh bất động sản đầu tư xây dựng để bán;</w:t>
      </w:r>
    </w:p>
    <w:p w14:paraId="43A0439E" w14:textId="7F6E7A3D"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về mua, thuê mua, nhận tặng cho, nhận thừa kế, nhận góp vốn, nhận đổi nhà ở phù hợp với quy định của pháp luật với quy định của pháp luật về đất đai và nhà ở;….</w:t>
      </w:r>
    </w:p>
    <w:p w14:paraId="764ECA4E" w14:textId="4E135D1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tạm trú là một trong các giấy tờ, tài liệu sau:</w:t>
      </w:r>
    </w:p>
    <w:p w14:paraId="47B3FE3C" w14:textId="5E51152B"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Một trong các giấy tờ sử dụng chứng minh chỗ ở hợp pháp để đăng ký thường trú trừ trường hợp giấy tờ, tài liệu chứng minh chỗ ở hợp pháp là văn bản cho thuê, cho mượn, cho ở nhờ chỗ ở hợp pháp của cơ quan, tổ chức, cá nhân thì văn bản đó không phải công chứng hoặc chứng thực;</w:t>
      </w:r>
    </w:p>
    <w:p w14:paraId="5F2D0CDA" w14:textId="6797AC8F"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Văn bản cam kết của công dân về việc có chỗ ở thuộc quyền sử dụng của mình, không có tranh chấp về quyền sử dụng và đang sinh sống ổn định, lâu dài tại chỗ ở đó nếu không có giấy tờ chứng minh chỗ ở hợp pháp để đăng ký thường trú;</w:t>
      </w:r>
    </w:p>
    <w:p w14:paraId="4ED3D8F0" w14:textId="77777777" w:rsidR="00A11AC3"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của chủ sở hữu cơ sở lưu trú du lịch, cơ sở khác có chức năng lưu trú, cho phép các cá nhân được đăng ký tạm trú tại cơ sở đó;….</w:t>
      </w:r>
    </w:p>
    <w:p w14:paraId="50FB7F46" w14:textId="0FAF3012" w:rsidR="002B16B5" w:rsidRPr="00A11AC3" w:rsidRDefault="00002C5D" w:rsidP="00A11AC3">
      <w:pPr>
        <w:pStyle w:val="NormalWeb"/>
        <w:shd w:val="clear" w:color="auto" w:fill="FFFFFF"/>
        <w:spacing w:before="0" w:beforeAutospacing="0" w:after="0" w:afterAutospacing="0"/>
        <w:ind w:firstLine="360"/>
        <w:rPr>
          <w:color w:val="212529"/>
          <w:sz w:val="28"/>
          <w:szCs w:val="28"/>
          <w:lang w:val="vi-VN"/>
        </w:rPr>
      </w:pPr>
      <w:r w:rsidRPr="00A11AC3">
        <w:rPr>
          <w:sz w:val="28"/>
          <w:szCs w:val="28"/>
          <w:lang w:val="vi-VN"/>
        </w:rPr>
        <w:t xml:space="preserve">Nghị định </w:t>
      </w:r>
      <w:r w:rsidR="006D1EA9" w:rsidRPr="00A11AC3">
        <w:rPr>
          <w:sz w:val="28"/>
          <w:szCs w:val="28"/>
          <w:lang w:val="vi-VN"/>
        </w:rPr>
        <w:t xml:space="preserve">này có hiệu lực từ ngày </w:t>
      </w:r>
      <w:r w:rsidRPr="00A11AC3">
        <w:rPr>
          <w:sz w:val="28"/>
          <w:szCs w:val="28"/>
          <w:lang w:val="vi-VN"/>
        </w:rPr>
        <w:t>10/01/2025</w:t>
      </w:r>
      <w:r w:rsidR="006D1EA9" w:rsidRPr="00A11AC3">
        <w:rPr>
          <w:sz w:val="28"/>
          <w:szCs w:val="28"/>
          <w:lang w:val="vi-VN"/>
        </w:rPr>
        <w:t>.</w:t>
      </w:r>
    </w:p>
    <w:p w14:paraId="10D98247" w14:textId="3CCF35F6" w:rsidR="00002C5D" w:rsidRPr="00002C5D" w:rsidRDefault="00002C5D" w:rsidP="00A11AC3">
      <w:pPr>
        <w:spacing w:after="0" w:line="240"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lastRenderedPageBreak/>
        <w:t>16.</w:t>
      </w:r>
      <w:r>
        <w:rPr>
          <w:rFonts w:ascii="Times New Roman" w:hAnsi="Times New Roman" w:cs="Times New Roman"/>
          <w:sz w:val="28"/>
          <w:szCs w:val="28"/>
        </w:rPr>
        <w:t xml:space="preserve"> </w:t>
      </w:r>
      <w:r w:rsidRPr="00002C5D">
        <w:rPr>
          <w:rFonts w:ascii="Times New Roman" w:hAnsi="Times New Roman" w:cs="Times New Roman"/>
          <w:b/>
          <w:bCs/>
          <w:sz w:val="28"/>
          <w:szCs w:val="28"/>
        </w:rPr>
        <w:t>Nghị định 168/2024/NĐ-CP quy định xử phạt vi phạm hành chính về trật tự, an toàn giao thông trong lĩnh vực giao thông đường bộ; trừ điểm, phục hồi điểm giấy phép lái xe</w:t>
      </w:r>
    </w:p>
    <w:p w14:paraId="32A146F8" w14:textId="77777777" w:rsidR="00002C5D"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Nghị định 168/2024/NĐ-CP quy định về:</w:t>
      </w:r>
    </w:p>
    <w:p w14:paraId="702C5768" w14:textId="14632F9F" w:rsidR="00002C5D" w:rsidRPr="00002C5D"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002C5D">
        <w:rPr>
          <w:rFonts w:ascii="Times New Roman" w:hAnsi="Times New Roman" w:cs="Times New Roman"/>
          <w:sz w:val="28"/>
          <w:szCs w:val="28"/>
        </w:rPr>
        <w:t xml:space="preserve"> Xử phạt vi phạm hành chính về trật tự, an toàn giao thông trong lĩnh vực giao thông đường bộ bao gồm:</w:t>
      </w:r>
    </w:p>
    <w:p w14:paraId="70221D46" w14:textId="6B586E7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Hành vi vi phạm hành chính;</w:t>
      </w:r>
    </w:p>
    <w:p w14:paraId="67CA073B" w14:textId="75B5CA3F"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Hình thức, mức xử phạt, biện pháp khắc phục hậu quả đối với từng hành vi vi phạm hành chính;</w:t>
      </w:r>
    </w:p>
    <w:p w14:paraId="4C844590" w14:textId="24666F0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Thẩm quyền lập biên bản, thẩm quyền xử phạt, mức phạt tiền cụ thể theo từng chức danh đối với hành vi vi phạm hành chính về trật tự, an toàn giao thông trong lĩnh vực giao thông đường bộ;</w:t>
      </w:r>
    </w:p>
    <w:p w14:paraId="096D8B12" w14:textId="3F05E26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14:paraId="4A7CD847"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Nghị định 168/2024/NĐ-CP đã tăng mức phạt của nhiều hành vi vi phạm lên nhiều lần so với trước đó.</w:t>
      </w:r>
    </w:p>
    <w:p w14:paraId="3281F21D"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Cụ thể, có 03 nhóm hành vi tăng mức tiền xử phạt, bao gồm:</w:t>
      </w:r>
    </w:p>
    <w:p w14:paraId="3E31FF9A" w14:textId="42A9C9DC" w:rsidR="00002C5D" w:rsidRPr="00002C5D" w:rsidRDefault="00002C5D" w:rsidP="00A11AC3">
      <w:pPr>
        <w:spacing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Xâm phạm trật tự quản lý nhà nước như dùng biển số giả, che biển số.</w:t>
      </w:r>
    </w:p>
    <w:p w14:paraId="1F279236"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 Cố ý vi phạm, làm xấu văn hóa giao thông như vượt đèn đỏ, đi ngược chiều.</w:t>
      </w:r>
    </w:p>
    <w:p w14:paraId="4C20DE3C" w14:textId="77777777" w:rsid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lang w:val="sv-SE"/>
        </w:rPr>
        <w:t>- Hành vi gây ra tai nạn giao thông.</w:t>
      </w:r>
    </w:p>
    <w:p w14:paraId="486194C1" w14:textId="0C3381C4"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Nghị định</w:t>
      </w:r>
      <w:r>
        <w:rPr>
          <w:rFonts w:ascii="Times New Roman" w:hAnsi="Times New Roman" w:cs="Times New Roman"/>
          <w:sz w:val="28"/>
          <w:szCs w:val="28"/>
        </w:rPr>
        <w:t xml:space="preserve"> này có hiệu lực từ ngày 01/01/2025</w:t>
      </w:r>
    </w:p>
    <w:p w14:paraId="6E46D6FE" w14:textId="36D4E79D" w:rsidR="00002C5D" w:rsidRPr="00002C5D" w:rsidRDefault="00002C5D" w:rsidP="00A11AC3">
      <w:pPr>
        <w:spacing w:after="0" w:line="240"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17.</w:t>
      </w:r>
      <w:r>
        <w:rPr>
          <w:rFonts w:ascii="Times New Roman" w:hAnsi="Times New Roman" w:cs="Times New Roman"/>
          <w:sz w:val="28"/>
          <w:szCs w:val="28"/>
        </w:rPr>
        <w:t xml:space="preserve"> </w:t>
      </w:r>
      <w:r w:rsidR="00A11AC3" w:rsidRPr="00A11AC3">
        <w:rPr>
          <w:rFonts w:ascii="Times New Roman" w:hAnsi="Times New Roman" w:cs="Times New Roman"/>
          <w:b/>
          <w:bCs/>
          <w:sz w:val="28"/>
          <w:szCs w:val="28"/>
        </w:rPr>
        <w:t>Thông tư 79/2024/TT-BCA của Bộ Công an quy định về cấp, thu hồi chứng nhận đăng ký xe, biển số xe cơ giới, xe máy chuyên dùng</w:t>
      </w:r>
    </w:p>
    <w:p w14:paraId="511FC92D" w14:textId="77777777" w:rsidR="00A11AC3" w:rsidRP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Thông tư 79/2024/TT-BCA quy định về trình tự, thủ tục cấp, thu hồi chứng nhận đăng ký xe, biển số xe cơ giới, xe máy chuyên dùng gồm:</w:t>
      </w:r>
    </w:p>
    <w:p w14:paraId="4B75A9C6" w14:textId="323F7C6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xml:space="preserve">- </w:t>
      </w:r>
      <w:r w:rsidRPr="00A11AC3">
        <w:rPr>
          <w:rFonts w:ascii="Times New Roman" w:hAnsi="Times New Roman" w:cs="Times New Roman"/>
          <w:sz w:val="28"/>
          <w:szCs w:val="28"/>
        </w:rPr>
        <w:t>Cấp mới chứng nhận đăng ký xe, biển số xe;</w:t>
      </w:r>
    </w:p>
    <w:p w14:paraId="7BFEF661" w14:textId="32051700"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xml:space="preserve">- </w:t>
      </w:r>
      <w:r w:rsidRPr="00A11AC3">
        <w:rPr>
          <w:rFonts w:ascii="Times New Roman" w:hAnsi="Times New Roman" w:cs="Times New Roman"/>
          <w:sz w:val="28"/>
          <w:szCs w:val="28"/>
        </w:rPr>
        <w:t>Cấp chứng nhận đăng ký xe trong trường hợp thay đổi chủ xe;</w:t>
      </w:r>
    </w:p>
    <w:p w14:paraId="7F3EE530" w14:textId="07E28F76"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xml:space="preserve">- </w:t>
      </w:r>
      <w:r w:rsidRPr="00A11AC3">
        <w:rPr>
          <w:rFonts w:ascii="Times New Roman" w:hAnsi="Times New Roman" w:cs="Times New Roman"/>
          <w:sz w:val="28"/>
          <w:szCs w:val="28"/>
        </w:rPr>
        <w:t>Đổi chứng nhận đăng ký xe, biển số xe;</w:t>
      </w:r>
    </w:p>
    <w:p w14:paraId="2AEB6FAE" w14:textId="1F5B292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xml:space="preserve">- </w:t>
      </w:r>
      <w:r w:rsidRPr="00A11AC3">
        <w:rPr>
          <w:rFonts w:ascii="Times New Roman" w:hAnsi="Times New Roman" w:cs="Times New Roman"/>
          <w:sz w:val="28"/>
          <w:szCs w:val="28"/>
        </w:rPr>
        <w:t>Cấp lại chứng nhận đăng ký xe, biển số xe;</w:t>
      </w:r>
    </w:p>
    <w:p w14:paraId="252828D3" w14:textId="4A5B5E43"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xml:space="preserve">- </w:t>
      </w:r>
      <w:r w:rsidRPr="00A11AC3">
        <w:rPr>
          <w:rFonts w:ascii="Times New Roman" w:hAnsi="Times New Roman" w:cs="Times New Roman"/>
          <w:sz w:val="28"/>
          <w:szCs w:val="28"/>
        </w:rPr>
        <w:t>Đăng ký xe tạm thời;</w:t>
      </w:r>
    </w:p>
    <w:p w14:paraId="1E0A58B7" w14:textId="77777777" w:rsid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xml:space="preserve">- </w:t>
      </w:r>
      <w:r w:rsidRPr="00A11AC3">
        <w:rPr>
          <w:rFonts w:ascii="Times New Roman" w:hAnsi="Times New Roman" w:cs="Times New Roman"/>
          <w:sz w:val="28"/>
          <w:szCs w:val="28"/>
        </w:rPr>
        <w:t>Thu hồi chứng nhận đăng ký xe, biển số xe.</w:t>
      </w:r>
    </w:p>
    <w:p w14:paraId="04495862" w14:textId="0D0F4658"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color w:val="222222"/>
          <w:sz w:val="28"/>
          <w:szCs w:val="28"/>
        </w:rPr>
        <w:t>Theo khoản 3 Điều 3 Thông tư 79/2024/TT-BCA, biển số xe được quản lý theo mã định danh của chủ xe (biển số định danh) và quy định như sau:</w:t>
      </w:r>
    </w:p>
    <w:p w14:paraId="0CD04F51"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công dân Việt Nam thì biển số xe được quản lý theo số định danh cá nhân;</w:t>
      </w:r>
    </w:p>
    <w:p w14:paraId="2E7F943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người nước ngoài thì biển số xe được quản lý theo số định danh của người nước ngoài do hệ thống định danh và xác thực điện tử xác lập hoặc số thẻ thường trú, số thẻ tạm trú hoặc số chứng minh thư khác do cơ quan có thẩm quyền cấp;</w:t>
      </w:r>
    </w:p>
    <w:p w14:paraId="6F66E2B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tổ chức thì biển số xe được quản lý theo mã định danh điện tử của tổ chức do hệ thống định danh và xác thực điện tử xác lập; trường hợp chưa có mã định danh của tổ chức thì quản lý theo mã số thuế hoặc số quyết định thành lập;</w:t>
      </w:r>
    </w:p>
    <w:p w14:paraId="59157328"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lastRenderedPageBreak/>
        <w:t>- Trường hợp xe hết niên hạn sử dụng, hư hỏng không sử dụng được hoặc chuyển quyền sở hữu xe thì biển số định danh của chủ xe được cơ quan đăng ký xe thu hồi và giữ lại số biển số đó cho chủ xe trong thời hạn 05 năm để cấp lại khi chủ xe đăng ký cho xe khác thuộc quyền sở hữu của mình (trừ trường hợp chuyển nhượng, trao đổi, tặng cho, để thừa kế xe gắn với biển số xe trúng đấu giá).</w:t>
      </w:r>
    </w:p>
    <w:p w14:paraId="26EFA12C" w14:textId="77777777" w:rsid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Quá thời hạn 05 năm kể từ ngày thu hồi, nếu chủ xe chưa đăng ký thì số biển số định danh đó được chuyển vào kho biển số xe để đăng ký, cấp cho tổ chức, cá nhân khác theo quy định.</w:t>
      </w:r>
    </w:p>
    <w:p w14:paraId="551BC154" w14:textId="0928AEC5"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34E2467F" w14:textId="27F1E64A" w:rsidR="00A11AC3" w:rsidRPr="00A11AC3" w:rsidRDefault="00A11AC3" w:rsidP="00A11AC3">
      <w:pPr>
        <w:pStyle w:val="NormalWeb"/>
        <w:spacing w:before="0" w:beforeAutospacing="0" w:after="0" w:afterAutospacing="0"/>
        <w:ind w:firstLine="360"/>
        <w:rPr>
          <w:b/>
          <w:bCs/>
          <w:color w:val="222222"/>
          <w:sz w:val="32"/>
          <w:szCs w:val="32"/>
          <w:lang w:val="vi-VN"/>
        </w:rPr>
      </w:pPr>
      <w:r w:rsidRPr="00A11AC3">
        <w:rPr>
          <w:b/>
          <w:bCs/>
          <w:color w:val="222222"/>
          <w:sz w:val="28"/>
          <w:szCs w:val="28"/>
          <w:lang w:val="vi-VN"/>
        </w:rPr>
        <w:t xml:space="preserve">18. </w:t>
      </w:r>
      <w:r w:rsidRPr="00A11AC3">
        <w:rPr>
          <w:b/>
          <w:bCs/>
          <w:sz w:val="28"/>
          <w:szCs w:val="28"/>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14:paraId="508E5835" w14:textId="50112DC2" w:rsidR="00002C5D"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trình tự, thủ tục kiểm định khí thải xe mô tô, xe gắn máy như sau:</w:t>
      </w:r>
    </w:p>
    <w:p w14:paraId="7F9D8491" w14:textId="38334637"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các xe mô tô, xe gắn máy có thời gian tính từ năm sản xuất đến 05 năm, chủ xe không phải nộp hồ sơ kiểm định khí thải và không phải mang xe đến cơ sở đăng kiểm để kiểm định khí thải. Giấy chứng nhận kiểm định khí thải đối với các xe mô tô, xe gắn máy được Cục Đăng kiểm Việt Nam thực hiện cấp trên phần mềm quản lý kiểm định trên cơ sở kết quả chứng nhận chất lượng an toàn kỹ thuật và bảo vệ môi trường xe mô tô, xe gắn máy trong sản xuất, lắp ráp và nhập khẩu lấy từ dữ liệu lưu trữ của Cục Đăng kiểm Việt Nam kết hợp cơ sở dữ liệu về đăng ký, quản lý xe cơ giới của Bộ Công an.</w:t>
      </w:r>
    </w:p>
    <w:p w14:paraId="362285AC" w14:textId="49F06A9E"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xe mô tô, xe gắn máy có thời gian tính từ năm sản xuất trên 05 năm thì chủ xe phải mang xe đến cơ sở đăng kiểm để kiểm định khí thải.</w:t>
      </w:r>
    </w:p>
    <w:p w14:paraId="0DE19FFC" w14:textId="1787FEB4" w:rsid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Chủ xe xuất trình một trong các giấy tờ sau: bản chính chứng nhận đăng ký xe; bản sao có chứng thực hoặc bản sao điện tử được chứng thực từ bản chính chứng nhận đăng ký xe; bản chính giấy hẹn cấp chứng nhận đăng ký xe. Cơ sở đăng kiểm tiếp nhận hồ sơ, tra cứu thông tin của xe mô tô, xe gắn máy trên phần mềm quản lý kiểm định và đối chiếu chứng nhận đăng ký xe với xe mô tô, xe gắn máy thực tế: trường hợp xe thuộc trường hợp bị từ chối kiểm định cơ sở đăng kiểm lập thông báo theo mẫu quy định tại Phụ lục I ban hành kèm theo Thông tư 47/2024/TT-BGTVT gửi cho chủ xe; trường hợp xe không thuộc trường hợp bị từ chối kiểm định, lập phiếu kiểm soát kiểm định theo mẫu số 3 Phụ lục IV ban hành kèm theo Thông tư 47/2024/TT-BGTVT</w:t>
      </w:r>
    </w:p>
    <w:p w14:paraId="001FB973" w14:textId="59F1D6FD"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trực tiếp: cơ sở đăng kiểm thực hiện kiểm định khí thải ngay trong ngày nhận đủ hồ sơ, nếu kết quả kiểm định không đạt yêu cầu, cơ sở đăng kiểm lập thông báo theo mẫu quy định tại Phụ lục I ban hành kèm theo Thông tư 47/2024/TT-BGTVT gửi cho chủ xe; trường hợp kết quả đạt yêu cầu thì cơ sở đăng kiểm cấp giấy chứng nhận kiểm định khí thải theo thời hạn hiệu lực của giấy chứng nhận kiểm định khí thải đối với xe mô tô, xe gắn máy theo quy định tại Phụ lục V ban hành kèm theo Thông tư 47/2024/TT-BGTVT</w:t>
      </w:r>
    </w:p>
    <w:p w14:paraId="542CCFB0" w14:textId="69C83E8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1AC3">
        <w:rPr>
          <w:rFonts w:ascii="Times New Roman" w:hAnsi="Times New Roman" w:cs="Times New Roman"/>
          <w:sz w:val="28"/>
          <w:szCs w:val="28"/>
        </w:rPr>
        <w:t>Trường hợp nộp hồ sơ qua hệ thống trực tuyến: cơ sở đăng kiểm xác nhận lịch hẹn kiểm định khí thải đồng thời thông báo với chủ xe về thời gian thực hiện kiểm định khí thải xe mô tô, xe gắn máy. Khi chủ xe đưa xe mô tô, xe gắn máy đến thì cơ sở đăng kiểm thực hiện theo quy định tại điểm a khoản 2 Điều 27 Thông tư 47/2024/TT-BGTVT</w:t>
      </w:r>
    </w:p>
    <w:p w14:paraId="1459E205" w14:textId="095EDDA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cấp cho xe mô tô, xe gắn máy là bản điện tử được tích hợp dữ liệu với tài khoản định danh điện tử của chủ xe, cụ thể như sau:</w:t>
      </w:r>
    </w:p>
    <w:p w14:paraId="04B323B5" w14:textId="4F3E1C9F"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lần đầu theo mẫu số 04 Phụ lục XX ban hành kèm theo Thông tư 47/2024/TT-</w:t>
      </w:r>
      <w:r>
        <w:rPr>
          <w:rFonts w:ascii="Times New Roman" w:hAnsi="Times New Roman" w:cs="Times New Roman"/>
          <w:sz w:val="28"/>
          <w:szCs w:val="28"/>
        </w:rPr>
        <w:t>BGTVT;</w:t>
      </w:r>
    </w:p>
    <w:p w14:paraId="608BEF7E" w14:textId="6F51E751"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định kỳ theo mẫu số 05 Phụ lục XX ban hành kèm theo Thông tư 47/2024/TT-</w:t>
      </w:r>
      <w:r>
        <w:rPr>
          <w:rFonts w:ascii="Times New Roman" w:hAnsi="Times New Roman" w:cs="Times New Roman"/>
          <w:sz w:val="28"/>
          <w:szCs w:val="28"/>
        </w:rPr>
        <w:t>BGTVT.</w:t>
      </w:r>
    </w:p>
    <w:p w14:paraId="1BE957D0" w14:textId="77E2AC32"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1D26D02F"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sz w:val="28"/>
          <w:szCs w:val="28"/>
        </w:rPr>
        <w:t xml:space="preserve">19. </w:t>
      </w:r>
      <w:r w:rsidRPr="00A11AC3">
        <w:rPr>
          <w:rFonts w:ascii="Times New Roman" w:hAnsi="Times New Roman" w:cs="Times New Roman"/>
          <w:b/>
          <w:bCs/>
          <w:sz w:val="28"/>
          <w:szCs w:val="28"/>
        </w:rPr>
        <w:t>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p w14:paraId="0A752DF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Cụ thể, </w:t>
      </w:r>
      <w:hyperlink r:id="rId49"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quy định về mẫu giấy phép lái xe, đào tạo, sát hạch, cấp, đổi, cấp lại, thu hồi giấy phép lái xe, sử dụng giấy phép lái xe và tiêu chuẩn của sân tập lái để sát hạch lái xe mô tô; mẫu giấy phép lái xe quốc tế, cấp, sử dụng giấy phép lái xe quốc tế; tiêu chuẩn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4C6FFCB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áp dụng đối với tổ chức, cá nhân có liên quan tới đào tạo, sát hạch, cấp, đổi, cấp lại, thu hồi giấy phép lái xe, sử dụng giấy phép lái xe và tiêu chuẩn của sân tập lái để sát hạch lái xe mô tô; cấp, sử dụng giấy phép lái xe quốc tế;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7F3E0E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không áp dụng đối với việc sử dụng giấy phép lái xe, cơ sở đào tạo lái xe, tổ chức đào tạo lái xe, sát hạch lái xe; việc cấp, đổi, cấp lại, thu hồi giấy phép lái xe; cấp, cấp lại chứng chỉ bồi dưỡng kiến thức pháp luật về giao thông đường bộ cho lực lượng quân đội, công an làm nhiệm vụ quốc phòng, an ninh.</w:t>
      </w:r>
    </w:p>
    <w:p w14:paraId="0ABD778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w:t>
      </w:r>
      <w:hyperlink r:id="rId50"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các hình thức đào tạo cấp giấy phép lái xe từ ngày 01/01/2025 được quy định như sau:</w:t>
      </w:r>
    </w:p>
    <w:p w14:paraId="219EFB1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mô tô các hạng A1, A và B1:</w:t>
      </w:r>
    </w:p>
    <w:p w14:paraId="6B1275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1"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tự học các môn lý thuyết theo quy định của pháp luật về hoạt động đào tạo và sát hạch lái xe hoặc học tập trung tại cơ sở đào tạo lái xe;</w:t>
      </w:r>
    </w:p>
    <w:p w14:paraId="3E25E31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Đối với nội dung thực hành lái xe: theo hình thức tập trung tại cơ sở đào tạo lái xe.</w:t>
      </w:r>
    </w:p>
    <w:p w14:paraId="4E85B5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các hạng B, C1, C, D1, D2, D, BE, C1E, CE, D1E, D2E và DE được đào tạo:</w:t>
      </w:r>
    </w:p>
    <w:p w14:paraId="7A92FE5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2"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tập trung tại cơ sở đào tạo lái xe hoặc đào tạo từ xa, tự học có hướng dẫn theo quy định của pháp luật về hoạt động đào tạo và sát hạch lái xe;</w:t>
      </w:r>
    </w:p>
    <w:p w14:paraId="7435710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thực hành lái xe: theo hình thức tập trung tại cơ sở đào tạo lái xe.</w:t>
      </w:r>
    </w:p>
    <w:p w14:paraId="413E16C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Về yêu cầu đối với người học lái xe từ ngày 01/01/2025:</w:t>
      </w:r>
    </w:p>
    <w:p w14:paraId="05FB8B4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Là công dân Việt Nam, người nước ngoài được phép cư trú hoặc đang làm việc, học tập tại Việt Nam.</w:t>
      </w:r>
    </w:p>
    <w:p w14:paraId="1E1C1B1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học lái xe để nâng hạng giấy phép lái xe phải đáp ứng theo quy định tại khoản 4 Điều 60 </w:t>
      </w:r>
      <w:hyperlink r:id="rId53" w:tgtFrame="_blank"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 trong đó, thời gian lái xe an toàn cho từng hạng giấy phép lái xe được quy định cụ thể như sau:</w:t>
      </w:r>
    </w:p>
    <w:p w14:paraId="3747D61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Hạng B lên C1, B lên C, B lên D1, B lên BE, C1 lên C, C1 lên D1, C1 lên D2, C1 lên C1E, C lên D1, C lên D2, D1 lên D2, D1 lên D, D1 lên D1E, D2 lên D, D2 lên D2E, D lên DE: thời gian lái xe an toàn từ 02 năm trở lên;</w:t>
      </w:r>
    </w:p>
    <w:p w14:paraId="59EDD61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+Hạng B lên D2, C lên CE, C lên D: thời gian lái xe an toàn từ 03 năm trở lên.</w:t>
      </w:r>
    </w:p>
    <w:p w14:paraId="143A71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đã có giấy phép lái xe hạng B số tự động được đăng ký học để cấp mới giấy phép lái xe hạng B số cơ khí (số sàn), người đã có giấy phép lái xe hạng B được đăng ký học để cấp mới giấy phép lái xe hạng C1 và phải học đủ nội dung chương trình đào tạo lái xe theo quy định, hồ sơ của người học lái xe thực hiện theo quy định tại khoản 1 Điều 15 </w:t>
      </w:r>
      <w:hyperlink r:id="rId54"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trường hợp đạt kết quả sát hạch, cơ quan tổ chức sát hạch có văn bản đề nghị cơ quan đã cấp giấy phép xe cắt góc giấy phép lái xe cũ và có văn bản đề nghị Cục Đường bộ Việt Nam xóa số quản lý giấy phép lái xe đã cấp.</w:t>
      </w:r>
    </w:p>
    <w:p w14:paraId="3B1B07C9" w14:textId="317043E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20.</w:t>
      </w:r>
      <w:r w:rsidRPr="00A11AC3">
        <w:rPr>
          <w:b/>
          <w:bCs/>
        </w:rPr>
        <w:t xml:space="preserve"> </w:t>
      </w:r>
      <w:r w:rsidRPr="00A11AC3">
        <w:rPr>
          <w:rFonts w:ascii="Times New Roman" w:hAnsi="Times New Roman" w:cs="Times New Roman"/>
          <w:b/>
          <w:bCs/>
          <w:sz w:val="28"/>
          <w:szCs w:val="28"/>
        </w:rPr>
        <w:t>Thông tư 22/2024/TT-BYT của Bộ Y tế quy định về thanh toán chi phí thuốc, thiết bị y tế trực tiếp cho người có thẻ bảo hiểm y tế đi khám bệnh, chữa bệnh</w:t>
      </w:r>
    </w:p>
    <w:p w14:paraId="3AC84FE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Điều kiện thanh toán chi phí thuốc, thiết bị y tế trực tiếp cho người có thẻ BHYT</w:t>
      </w:r>
    </w:p>
    <w:p w14:paraId="31ADE94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Tại thời điểm kê đơn thuốc, chỉ định sử dụng thiết bị y tế phải bảo đảm các điều kiện theo quy định sau đây:</w:t>
      </w:r>
    </w:p>
    <w:p w14:paraId="77DAD7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e khoản 1, khoản 2 Điều 23 </w:t>
      </w:r>
      <w:hyperlink r:id="rId55" w:history="1">
        <w:r w:rsidRPr="00A11AC3">
          <w:rPr>
            <w:rStyle w:val="Hyperlink"/>
            <w:rFonts w:ascii="Times New Roman" w:hAnsi="Times New Roman" w:cs="Times New Roman"/>
            <w:color w:val="000000" w:themeColor="text1"/>
            <w:sz w:val="28"/>
            <w:szCs w:val="28"/>
            <w:u w:val="none"/>
          </w:rPr>
          <w:t xml:space="preserve">Luật Đấu thầu </w:t>
        </w:r>
        <w:r w:rsidRPr="00A11AC3">
          <w:rPr>
            <w:rStyle w:val="Hyperlink"/>
            <w:rFonts w:ascii="Times New Roman" w:hAnsi="Times New Roman" w:cs="Times New Roman"/>
            <w:color w:val="000000" w:themeColor="text1"/>
            <w:sz w:val="28"/>
            <w:szCs w:val="28"/>
            <w:u w:val="none"/>
          </w:rPr>
          <w:lastRenderedPageBreak/>
          <w:t>2023</w:t>
        </w:r>
      </w:hyperlink>
      <w:r w:rsidRPr="00A11AC3">
        <w:rPr>
          <w:rFonts w:ascii="Times New Roman" w:hAnsi="Times New Roman" w:cs="Times New Roman"/>
          <w:color w:val="000000" w:themeColor="text1"/>
          <w:sz w:val="28"/>
          <w:szCs w:val="28"/>
        </w:rPr>
        <w:t> và khoản 1 Điều 94 Nghị định 24/2024/NĐ-CP nhưng không lựa chọn được nhà thầu. Đồng thời, tại cơ sở khám bệnh, chữa bệnh:</w:t>
      </w:r>
    </w:p>
    <w:p w14:paraId="217DD4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p>
    <w:p w14:paraId="7357D03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thiết bị y tế: Không có thiết bị y tế mà người bệnh được chỉ định sử dụng và không có thiết bị y tế để thay thế.</w:t>
      </w:r>
    </w:p>
    <w:p w14:paraId="0ADCDC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chuyển người bệnh đến cơ sở khám bệnh, chữa bệnh khác thuộc một trong các trường hợp sau đây:</w:t>
      </w:r>
    </w:p>
    <w:p w14:paraId="5602006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Tình trạng sức khỏe, bệnh lý người bệnh được xác định không đủ điều kiện để chuyển;</w:t>
      </w:r>
    </w:p>
    <w:p w14:paraId="25D6DE2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đang trong thời gian cách ly y tế theo quy định của pháp luật phòng, chống bệnh truyền nhiễm;</w:t>
      </w:r>
    </w:p>
    <w:p w14:paraId="3F14D9A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là cơ sở khám bệnh, chữa bệnh cấp chuyên sâu.</w:t>
      </w:r>
    </w:p>
    <w:p w14:paraId="1DEFB07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thể chuyển thuốc, thiết bị y tế giữa các cơ sở khám bệnh, chữa bệnh theo quy định của pháp luật.</w:t>
      </w:r>
    </w:p>
    <w:p w14:paraId="0F50BCC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27674DC7"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thuộc phạm vi quyền lợi của người tham gia bảo hiểm y tế.</w:t>
      </w:r>
    </w:p>
    <w:p w14:paraId="28FFAF67" w14:textId="0F4951A9"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1DB8DDFB" w14:textId="75210A3B"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b/>
          <w:bCs/>
          <w:color w:val="000000" w:themeColor="text1"/>
          <w:sz w:val="28"/>
          <w:szCs w:val="28"/>
        </w:rPr>
        <w:t>21.</w:t>
      </w:r>
      <w:r>
        <w:rPr>
          <w:rFonts w:ascii="Times New Roman" w:hAnsi="Times New Roman" w:cs="Times New Roman"/>
          <w:color w:val="000000" w:themeColor="text1"/>
          <w:sz w:val="28"/>
          <w:szCs w:val="28"/>
        </w:rPr>
        <w:t xml:space="preserve"> </w:t>
      </w:r>
      <w:r w:rsidRPr="00A11AC3">
        <w:rPr>
          <w:rFonts w:ascii="Times New Roman" w:hAnsi="Times New Roman" w:cs="Times New Roman"/>
          <w:b/>
          <w:bCs/>
          <w:sz w:val="28"/>
          <w:szCs w:val="28"/>
        </w:rPr>
        <w:t>Thông tư 73/2024/TT-BCA của Bộ Công an quy định công tác tuần tra, kiểm soát, xử lý vi phạm pháp luật về trật tự, an toàn giao thông đường bộ của Cảnh sát giao thông</w:t>
      </w:r>
    </w:p>
    <w:p w14:paraId="1977B0F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Quy trình dừng xe để kiểm soát của Cảnh sát giao thông từ 01/01/2025</w:t>
      </w:r>
    </w:p>
    <w:p w14:paraId="1FCCFF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(1) Cán bộ Cảnh sát giao thông thực hiện nhiệm vụ tuần tra, kiểm soát theo kế hoạch được dừng phương tiện tham gia giao thông đường bộ để kiểm soát theo quy định tại Điều 65, Điều 66 </w:t>
      </w:r>
      <w:hyperlink r:id="rId56"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w:t>
      </w:r>
    </w:p>
    <w:p w14:paraId="166616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(2) Việc dừng, kiểm soát phương tiện giao thông phải bảo đảm các yêu cầu sau:</w:t>
      </w:r>
    </w:p>
    <w:p w14:paraId="656A922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An toàn, đúng quy định của pháp luật, không gây cản trở đến hoạt động giao thông;</w:t>
      </w:r>
    </w:p>
    <w:p w14:paraId="4474B5A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đã dừng phương tiện giao thông phải thực hiện việc kiểm soát, xử lý vi phạm (nếu có) theo quy định.</w:t>
      </w:r>
    </w:p>
    <w:p w14:paraId="4C6ACF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(3) Khi kiểm soát tại một điểm trên đường giao thông, tại Trạm Cảnh sát giao thông phải bảo đảm yêu cầu quy định tại khoản 2 Điều 6 Thông tư 73/2024, khoản 2 Điều 12 Thông tư 73/2024 và yêu cầu sau:</w:t>
      </w:r>
    </w:p>
    <w:p w14:paraId="389A813C"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xml:space="preserve">- Đặt rào chắn bằng các cọc tiêu hình chóp nón hoặc dây căng dọc theo chiều đường ở phần đường, làn đường sát lề đường hoặc vỉa hè để hình thành khu vực thực thi công vụ theo quy định của Bộ Công an về thực hiện dân chủ trong công </w:t>
      </w:r>
      <w:r w:rsidRPr="00A11AC3">
        <w:rPr>
          <w:rFonts w:ascii="Times New Roman" w:hAnsi="Times New Roman" w:cs="Times New Roman"/>
          <w:color w:val="000000" w:themeColor="text1"/>
          <w:sz w:val="28"/>
          <w:szCs w:val="28"/>
        </w:rPr>
        <w:lastRenderedPageBreak/>
        <w:t>tác bảo đảm trật tự, an toàn giao thông. Căn cứ vào tình hình thực tế, 12 đặc điểm tuyến đường giao thông đê triên khai chiều dài đoạn rào chắn cho phù hợp, bảo đảm an toàn;</w:t>
      </w:r>
    </w:p>
    <w:p w14:paraId="1A5CA1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Khu vực thực thi công vụ phải tuân thủ các quy định của pháp luật về trật tự, an toàn giao thông đường bộ và quy định của pháp luật khác có liên quan; đủ diện tích để bố trí, lắp đặt các phương tiện, thiết bị kỹ thuật nghiệp vụ, thực hiện các nội dung kiểm soát, tiếp công dân giải quyết, xử lý vụ việc; căn cứ tình hình thực tế tại khu vực thực thi công vụ, chuyên đề kiểm soát, có thể bố trí cán bộ Cảnh sát giao thông hướng dẫn, điều hòa giao thông, bảo đảm an toàn giao thông.</w:t>
      </w:r>
    </w:p>
    <w:p w14:paraId="7CE4C5F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(4) Khi kiểm soát phương tiện giao thông trên đường cao tốc, phải bảo đảm yêu cầu quy định tại khoản 2 Điều 6 Thông tư 73/2024, khoản 2, khoản 3 Điều 12 Thông tư 73/2024 và yêu cầu sau:</w:t>
      </w:r>
    </w:p>
    <w:p w14:paraId="61477B68" w14:textId="112CC095"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Các vị trí được tổ chức kiểm soát tại một điểm, bao gồm: Khu vực Trạm thu phí; khu vực bắt đầu đường cao tốc; khu vực kết thúc đường cao tốc, hết đường cao tốc; trên đường dẫn ra, vào đường cao tốc;</w:t>
      </w:r>
    </w:p>
    <w:p w14:paraId="0E5627C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tuần tra, kiểm soát cơ động chỉ được dừng phương tiện giao thông vào làn dừng phương tiện khẩn cấp để kiểm soát, xử lý vi phạm trong các trường hợp: Phát hiện vi phạm pháp luật về trật tự, an toàn giao thông nghiêm trọng, nguy cơ gây mất an toàn giao thông tức thời; phối hợp đấu tranh phòng, chống tội phạm; phòng, chống thiên tai; phòng cháy, chữa cháy; cứu nạn và cứu hộ; phòng chống dịch bệnh; tin báo, tố giác, phản ánh về hành vi vi phạm pháp luật của người và phương tiện giao thông đang lưu thông trên đường cao tốc; phát hiện phương tiện giao thông dừng, đỗ không đúng quy định trên đường cao tốc. Sau khi giải quyết xong vụ việc phải thu dọn cọc tiêu, dây căng, biển báo hiệu và di chuyển ngay;</w:t>
      </w:r>
    </w:p>
    <w:p w14:paraId="1A403BA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biển báo số 245a “Đi chậm” hoặc biển báo số 245b (đối với tuyến đường đối ngoại) về phía trước Tổ Cảnh sát giao thông theo hướng phương tiện giao thông cần kiểm soát đi tới theo quy định của pháp luật báo hiệu đường bộ.</w:t>
      </w:r>
    </w:p>
    <w:p w14:paraId="7FDCF5D3" w14:textId="6FBCFDB6"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4B6E0EDA"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color w:val="000000" w:themeColor="text1"/>
          <w:sz w:val="28"/>
          <w:szCs w:val="28"/>
        </w:rPr>
        <w:t xml:space="preserve">22. </w:t>
      </w:r>
      <w:r w:rsidRPr="00A11AC3">
        <w:rPr>
          <w:rFonts w:ascii="Times New Roman" w:hAnsi="Times New Roman" w:cs="Times New Roman"/>
          <w:b/>
          <w:bCs/>
          <w:sz w:val="28"/>
          <w:szCs w:val="28"/>
        </w:rPr>
        <w:t>Thông tư 65/2024/TT-BCA của Bộ Công an quy định kiểm tra kiến thức pháp luật về trật tự, an toàn giao thông đường bộ để được phục hồi điểm giấy phép lái xe</w:t>
      </w:r>
    </w:p>
    <w:p w14:paraId="5ADB4EE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được tham gia kiểm tra kiến thức pháp luật về trật tự, an toàn giao thông đường bộ là người có giấy phép lái xe bị trừ hết điểm.</w:t>
      </w:r>
    </w:p>
    <w:p w14:paraId="2A70028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Cơ quan có thẩm quyền kiểm tra kiến thức pháp luật về trật tự, an toàn giao thông đường bộ:</w:t>
      </w:r>
    </w:p>
    <w:p w14:paraId="261E283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Cảnh sát giao thông.</w:t>
      </w:r>
    </w:p>
    <w:p w14:paraId="6DF8EB9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Phòng Cảnh sát giao thông Công an tỉnh, thành phố trực thuộc trung ương.</w:t>
      </w:r>
    </w:p>
    <w:p w14:paraId="0173E3FE" w14:textId="77777777" w:rsidR="00A11AC3" w:rsidRPr="00A11AC3" w:rsidRDefault="00A11AC3" w:rsidP="00A11AC3">
      <w:pPr>
        <w:spacing w:after="0" w:line="240" w:lineRule="auto"/>
        <w:ind w:firstLine="567"/>
        <w:jc w:val="both"/>
        <w:rPr>
          <w:rFonts w:ascii="Times New Roman" w:hAnsi="Times New Roman" w:cs="Times New Roman"/>
          <w:i/>
          <w:iCs/>
          <w:color w:val="000000" w:themeColor="text1"/>
          <w:sz w:val="28"/>
          <w:szCs w:val="28"/>
        </w:rPr>
      </w:pPr>
      <w:r w:rsidRPr="00A11AC3">
        <w:rPr>
          <w:rFonts w:ascii="Times New Roman" w:hAnsi="Times New Roman" w:cs="Times New Roman"/>
          <w:i/>
          <w:iCs/>
          <w:color w:val="000000" w:themeColor="text1"/>
          <w:sz w:val="28"/>
          <w:szCs w:val="28"/>
        </w:rPr>
        <w:t>Bài kiểm tra phục hồi điểm với giấy phép lái xe A1 bị trừ hết điểm</w:t>
      </w:r>
    </w:p>
    <w:p w14:paraId="55FE47C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Với giấy phép lái xe A1 thì để được phục hồi đủ 12 điểm, người có giấy phép lái xe bị trừ hết điểm phải thực hiện kiểm tra lý thuyết kiến thức pháp luật về trật tự, an toàn giao thông đường bộ.</w:t>
      </w:r>
    </w:p>
    <w:p w14:paraId="49BF4D0E"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 Nội dung kiểm tra</w:t>
      </w:r>
    </w:p>
    <w:p w14:paraId="14EC7211" w14:textId="13269218"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Kiểm tra lý thuyết kiến thức pháp luật về trật tự, an toàn giao thông đường bộ được thực hiện theo câu hỏi sát hạch lý thuyết để cấp giấy phép lái xe theo quy định của Bộ trưởng Bộ Giao thông vận tải.</w:t>
      </w:r>
    </w:p>
    <w:p w14:paraId="4DE0B0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 Phương pháp kiểm tra</w:t>
      </w:r>
    </w:p>
    <w:p w14:paraId="3FED30E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Đối với kiểm tra lý thuyết kiến thức pháp luật, người dự kiểm tra thực hiện bài kiểm tra trắc nghiệm trên máy tính theo phần mềm kiểm tra kiến thức pháp luật về trật tự, an toàn giao thông đường bộ.</w:t>
      </w:r>
    </w:p>
    <w:p w14:paraId="097AC18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(III) Thời gian, kết cấu bài kiểm tra và kết quả kiểm tra lý thuyết kiến thức pháp luật đạt yêu cầu</w:t>
      </w:r>
    </w:p>
    <w:p w14:paraId="455E175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dự kiểm tra có giấy phép lái xe hạng A1 làm bài kiểm tra trong thời gian 19 phút. Kết cấu bài kiểm tra gồm 25 câu hỏi trắc nghiệm, mỗi câu hỏi được tính 01 điểm, trong đó có 01 câu hỏi được tính là điểm liệt. Kết quả từ 21/25 điểm trở lên là đạt yêu cầu. Trường hợp kết quả từ 21/25 điểm trở lên nhưng trả lời sai vào câu hỏi được tính là điểm liệt thì không đạt yêu cầu.</w:t>
      </w:r>
    </w:p>
    <w:p w14:paraId="34EA877E" w14:textId="310F541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58DFB32D" w14:textId="1020945B" w:rsidR="00A11AC3" w:rsidRDefault="00A11AC3" w:rsidP="00A11AC3">
      <w:pPr>
        <w:spacing w:after="0" w:line="240" w:lineRule="auto"/>
        <w:ind w:firstLine="567"/>
        <w:jc w:val="both"/>
        <w:rPr>
          <w:rFonts w:ascii="Times New Roman" w:hAnsi="Times New Roman" w:cs="Times New Roman"/>
          <w:b/>
          <w:bCs/>
          <w:sz w:val="28"/>
          <w:szCs w:val="28"/>
        </w:rPr>
      </w:pPr>
      <w:r w:rsidRPr="00A11AC3">
        <w:rPr>
          <w:rFonts w:ascii="Times New Roman" w:hAnsi="Times New Roman" w:cs="Times New Roman"/>
          <w:b/>
          <w:bCs/>
          <w:color w:val="000000" w:themeColor="text1"/>
          <w:sz w:val="28"/>
          <w:szCs w:val="28"/>
        </w:rPr>
        <w:t>23.</w:t>
      </w:r>
      <w:r w:rsidRPr="00A11AC3">
        <w:rPr>
          <w:b/>
          <w:bCs/>
        </w:rPr>
        <w:t xml:space="preserve"> </w:t>
      </w:r>
      <w:r w:rsidRPr="00A11AC3">
        <w:rPr>
          <w:rFonts w:ascii="Times New Roman" w:hAnsi="Times New Roman" w:cs="Times New Roman"/>
          <w:b/>
          <w:bCs/>
          <w:sz w:val="28"/>
          <w:szCs w:val="28"/>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p>
    <w:p w14:paraId="179D480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tiêu chuẩn sức khỏe của người lái xe, người điều khiển xe máy chuyên dùng như sau:</w:t>
      </w:r>
    </w:p>
    <w:p w14:paraId="07E17B8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quy định tại Phụ lục I ban hành kèm theo Thông tư 36/2024/TT-BYT</w:t>
      </w:r>
    </w:p>
    <w:p w14:paraId="704DBA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chia theo 3 nhóm, cụ thể như sau:</w:t>
      </w:r>
    </w:p>
    <w:p w14:paraId="7105DC8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1: Áp dụng với trường hợp khám sức khỏe để cấp giấy phép lái xe hạng A1, B1 và người điều khiển xe máy chuyên dùng</w:t>
      </w:r>
    </w:p>
    <w:p w14:paraId="08E98B1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2: Áp dụng với trường hợp khám sức khỏe để cấp giấy phép lái hạng A và B</w:t>
      </w:r>
    </w:p>
    <w:p w14:paraId="0289FB2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3: Áp dụng với trường hợp khám sức khỏe để cấp giấy phép lái hạng C1, C, D1, D2, D, BE, C1E, CE, D1E, D2E VÀ DE</w:t>
      </w:r>
    </w:p>
    <w:p w14:paraId="0274BC1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giấy phép lái xe đã được cấp trước ngày 01/01/2025 nếu có nhu cầu đổi, cấp lại giấy phép lái xe từ hạng A1 được đổi, cấp lại sang giấy phép lái xe hạng A với điều kiện hạn chế là chỉ được điều khiển xe mô tô hai bánh có dung tích xi-lanh đến dưới 175 cm3 hoặc có công suất động cơ điện đến dưới 14 kW: Áp dụng tiêu chuẩn sức khỏe Nhóm 1 để khám sức khỏe.</w:t>
      </w:r>
    </w:p>
    <w:p w14:paraId="535FBB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khám sức khỏe đối với người khuyết tật đề nghị cấp giấy phép lái xe hạng A1 hoặc cấp giấy phép lái xe hạng B: Áp dụng tiêu chuẩn sức khỏe quy định tại Phụ lục I ban hành kèm theo Thông tư 36/2024/TT-BYT để khám sức khỏe nhưng không phải khám chuyên khoa Cơ Xương Khớp.</w:t>
      </w:r>
    </w:p>
    <w:p w14:paraId="7AF30011" w14:textId="00C1A0E4"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7F5B0BFC" w14:textId="4C0B679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 xml:space="preserve">24. </w:t>
      </w:r>
      <w:r w:rsidRPr="00A11AC3">
        <w:rPr>
          <w:rFonts w:ascii="Times New Roman" w:hAnsi="Times New Roman" w:cs="Times New Roman"/>
          <w:b/>
          <w:bCs/>
          <w:sz w:val="28"/>
          <w:szCs w:val="28"/>
        </w:rPr>
        <w:t>Thông tư 34/2024/TT-BGTVT của Bộ Giao thông Vận tải quy định về hoạt động trạm thu phí đường bộ</w:t>
      </w:r>
    </w:p>
    <w:p w14:paraId="028F32D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Theo đó, thu tiền sử dụng đường bộ được thực hiện theo hình thức điện tử không dừng và hình thức một dừng.</w:t>
      </w:r>
    </w:p>
    <w:p w14:paraId="4A9EEC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điện tử không dừng là hình thức thu tiền sử dụng đường bộ tự động, phương tiện tham gia giao thông đường bộ không phải dừng lại để trả tiền sử dụng đường bộ khi qua trạm thu phí.</w:t>
      </w:r>
    </w:p>
    <w:p w14:paraId="4DDD14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một dừng là hình thức thu tiền sử dụng đường bộ mà khi qua trạm thu phí, phương tiện giao thông đường bộ thực hiện một lần dừng khi qua cửa kiểm soát làn thu phí để trả tiền sử dụng đường bộ.</w:t>
      </w:r>
    </w:p>
    <w:p w14:paraId="355B11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Việc quản lý, khai thác dữ liệu thu tiền sử dụng đường bộ như sau:</w:t>
      </w:r>
    </w:p>
    <w:p w14:paraId="01BB6C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Đường bộ Việt Nam quản lý, khai thác dữ liệu thu tiền sử dụng đường bộ của các trạm thu phí trên hệ thống quản lý cơ sở dữ liệu thanh toán điện tử giao thông đường bộ; khai thác dữ liệu về giao dịch thanh toán tiền sử dụng đường bộ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E4EFC5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Ủy ban nhân dân cấp tỉnh tổ chức quản lý, khai thác dữ liệu thu tiền sử dụng đường bộ của các trạm thu phí do địa phương quản lý trên hệ thống quản lý cơ sở dữ liệu thanh toán điện tử giao thông đường bộ; khai thác giao dịch về thanh toán tiền sử dụng đường bộ của các trạm thu phí do địa phương quản lý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732941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Nhà cung cấp dịch vụ thanh toán tiền sử dụng đường bộ quản lý, khai thác dữ liệu thu tiền sử dụng đường bộ trên hệ thống Back-End theo quy định của hợp đồng dịch vụ thu và quy định của pháp luật về thanh toán điện tử giao thông đường bộ.</w:t>
      </w:r>
    </w:p>
    <w:p w14:paraId="3A66CBC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quản lý, khai thác dữ liệu thu tiền sử dụng đường bộ theo hình thức một dừng tại trạm thu phí thuộc phạm vi quản lý. Đồng thời phải kết nối đồng bộ dữ liệu về lịch sử giao dịch thu tiền sử dụng đường bộ theo hình thức một dừng tại trạm thu phí lên hệ thống Back-End của nhà cung cấp dịch vụ thanh toán tiền sử dụng đường bộ.</w:t>
      </w:r>
    </w:p>
    <w:p w14:paraId="14A38FD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được khai thác dữ liệu về giao dịch thanh toán tiền sử dụng đường bộ của các trạm thu phí thuộc phạm vi quản lý thông qua tài khoản đăng nhập được cung cấp để truy cập vào cổng thông tin của hệ thống Back-End của nhà cung cấp dịch vụ thanh toán tiền sử dụng đường bộ.</w:t>
      </w:r>
    </w:p>
    <w:p w14:paraId="61D123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Chủ phương tiện được khai thác dữ liệu thu tiền sử dụng đường bộ thông qua tài khoản giao thông và ứng dụng thanh toán điện tử giao thông đường bộ cho chủ phương tiện trên hệ thống Back-End của nhà cung cấp dịch vụ thanh toán tiền sử dụng đường bộ.</w:t>
      </w:r>
    </w:p>
    <w:p w14:paraId="2F4E0E9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quản lý, khai thác dữ liệu thu tiền sử dụng đường bộ phải thực hiện theo quy định của pháp luật về giao dịch điện tử, pháp luật về an ninh mạng, pháp luật về an toàn thông tin mạng và quy định khác của pháp luật có liên quan.</w:t>
      </w:r>
    </w:p>
    <w:p w14:paraId="13F985C9" w14:textId="2FD6B259"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lastRenderedPageBreak/>
        <w:t>25.</w:t>
      </w:r>
      <w:r w:rsidRPr="00A11AC3">
        <w:rPr>
          <w:b/>
          <w:bCs/>
        </w:rPr>
        <w:t xml:space="preserve"> </w:t>
      </w:r>
      <w:r w:rsidRPr="00A11AC3">
        <w:rPr>
          <w:rFonts w:ascii="Times New Roman" w:hAnsi="Times New Roman" w:cs="Times New Roman"/>
          <w:b/>
          <w:bCs/>
          <w:sz w:val="28"/>
          <w:szCs w:val="28"/>
        </w:rPr>
        <w:t>Thông tư 23/2024/TT-BTNMT của Bộ Tài nguyên và Môi trường quy định kỹ thuật lập hành lang bảo vệ nguồn nước</w:t>
      </w:r>
    </w:p>
    <w:p w14:paraId="4A922D2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quy định về thi công cắm mốc giới hành lang bảo vệ nguồn nước như sau:</w:t>
      </w:r>
    </w:p>
    <w:p w14:paraId="64DAF3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Đưa vị trí tọa độ cắm mốc giới trên bản đồ chuyển ra thực địa.</w:t>
      </w:r>
    </w:p>
    <w:p w14:paraId="3EAD26A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Đánh dấu phục vụ thi công: vị trí các mốc ngoài hiện trường được đánh dấu bằng cọc tạm có thể dùng cọc tre, cọc gỗ đảm bảo ổn định trong quá trình triển khai thi công chôn mốc.</w:t>
      </w:r>
    </w:p>
    <w:p w14:paraId="13B0B8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bản mô tả hành lang bảo vệ nguồn nước:</w:t>
      </w:r>
    </w:p>
    <w:p w14:paraId="7D9C11F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Quy định chung về mô tả hành lang bảo vệ nguồn nước: mô tả được lập cho tất cả các tuyến hành lang; số liệu trong bản mô tả phải phù hợp với sơ đồ vị trí cắm mốc, mỗi tuyến hành lang có thể mô tả liên tục theo toàn tuyến hoặc chia thành một số đoạn.</w:t>
      </w:r>
    </w:p>
    <w:p w14:paraId="6769BA9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Nội dung mô tả bao gồm: hiện trạng trên thực địa; vị trí và khoảng cách giữa các mốc; các điểm đặc trưng đã được xác định trên thực địa.</w:t>
      </w:r>
    </w:p>
    <w:p w14:paraId="5E293EB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Phương pháp mô tả: mô tả rõ ràng để diễn đạt chính xác vị trí của đường hành lang trên thực địa một cách tuần tự theo hướng đã chọn; việc mô tả phải dựa theo các yếu tố địa lý tồn tại ổn định trên thực địa.</w:t>
      </w:r>
    </w:p>
    <w:p w14:paraId="6F574A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Thi công cắm mốc giới: việc thi công cắm mốc ngoài hiện trường được xác định dựa trên sơ đồ vị trí mốc và các vị trí mốc đã được đánh dấu bởi cọc tạm; Công tác triển khai chôn mốc phải đảm bảo các yêu cầu sau đây:</w:t>
      </w:r>
    </w:p>
    <w:p w14:paraId="02C5381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Điểm đặt mốc được chọn ở những nơi có nền cứng chắc, ổn định, thuận lợi, bảo đảm tồn tại lâu dài, không bị phá hoại do cấu tạo địa chất và do các công trình xây dựng;</w:t>
      </w:r>
    </w:p>
    <w:p w14:paraId="6306073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sơ đồ vị trí mốc giới hành lang bảo vệ nguồn nước theo quy định tại Mẫu số 02 Phụ lục 02 ban hành kèm theo Thông tư 23/2024, trong đó thể hiện vị trí mốc giới, các yếu tố địa hình, địa vật;</w:t>
      </w:r>
    </w:p>
    <w:p w14:paraId="7950F8D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Vị trí mốc giới phải đảm bảo thuận tiện cho công tác đo ngắm, không ảnh hưởng đến độ chính xác;</w:t>
      </w:r>
    </w:p>
    <w:p w14:paraId="32684C9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Mốc không được chôn ở những nơi dễ bị ngập nước, mực nước ngầm quá cao, những nơi sắp xây dựng.</w:t>
      </w:r>
    </w:p>
    <w:p w14:paraId="664F251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Đo tọa độ mốc giới: tọa độ mốc giới (X, Y) được xác định dựa trên tọa độ của điểm tâm đỉnh mốc, độ sai số đảm bảo không quá 0,3 m đối với khu vực đồng bằng và 0,5 m đối với khu vực đồi núi, khu vực có địa hình phức tạp, đi lại khó khăn.</w:t>
      </w:r>
    </w:p>
    <w:p w14:paraId="054E63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thi công cắm mốc giới hành lang bảo vệ nguồn nước đồng thời phải phù hợp với quy định về lập bản đồ địa chính theo pháp luật về đất đai.</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05FE673E"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 xml:space="preserve">PHÒNG TƯ PHÁP HUYỆN KỲ </w:t>
      </w:r>
      <w:r w:rsidR="00A11AC3">
        <w:rPr>
          <w:rFonts w:ascii="Times New Roman" w:hAnsi="Times New Roman" w:cs="Times New Roman"/>
          <w:b/>
          <w:sz w:val="28"/>
          <w:szCs w:val="28"/>
        </w:rPr>
        <w:t>ANH</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5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499D2" w14:textId="77777777" w:rsidR="00C43297" w:rsidRDefault="00C43297" w:rsidP="007137D4">
      <w:pPr>
        <w:spacing w:after="0" w:line="240" w:lineRule="auto"/>
      </w:pPr>
      <w:r>
        <w:separator/>
      </w:r>
    </w:p>
  </w:endnote>
  <w:endnote w:type="continuationSeparator" w:id="0">
    <w:p w14:paraId="1454FFCB" w14:textId="77777777" w:rsidR="00C43297" w:rsidRDefault="00C43297"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582A" w14:textId="77777777" w:rsidR="00C43297" w:rsidRDefault="00C43297" w:rsidP="007137D4">
      <w:pPr>
        <w:spacing w:after="0" w:line="240" w:lineRule="auto"/>
      </w:pPr>
      <w:r>
        <w:separator/>
      </w:r>
    </w:p>
  </w:footnote>
  <w:footnote w:type="continuationSeparator" w:id="0">
    <w:p w14:paraId="0FAA7E2C" w14:textId="77777777" w:rsidR="00C43297" w:rsidRDefault="00C43297"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1CB9"/>
    <w:multiLevelType w:val="multilevel"/>
    <w:tmpl w:val="3A7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95065"/>
    <w:multiLevelType w:val="multilevel"/>
    <w:tmpl w:val="EF2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7317C"/>
    <w:multiLevelType w:val="hybridMultilevel"/>
    <w:tmpl w:val="F21E2722"/>
    <w:lvl w:ilvl="0" w:tplc="D3AACF7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578DD"/>
    <w:multiLevelType w:val="hybridMultilevel"/>
    <w:tmpl w:val="ADC85254"/>
    <w:lvl w:ilvl="0" w:tplc="E4F6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F7BCF"/>
    <w:multiLevelType w:val="multilevel"/>
    <w:tmpl w:val="356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36EE7"/>
    <w:multiLevelType w:val="multilevel"/>
    <w:tmpl w:val="A17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C1D05"/>
    <w:multiLevelType w:val="hybridMultilevel"/>
    <w:tmpl w:val="DC1CA820"/>
    <w:lvl w:ilvl="0" w:tplc="A392C3E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A6E6B"/>
    <w:multiLevelType w:val="multilevel"/>
    <w:tmpl w:val="9D5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484B94"/>
    <w:multiLevelType w:val="multilevel"/>
    <w:tmpl w:val="649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AF33CA"/>
    <w:multiLevelType w:val="hybridMultilevel"/>
    <w:tmpl w:val="85DE377A"/>
    <w:lvl w:ilvl="0" w:tplc="FD44C4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0641BA"/>
    <w:multiLevelType w:val="multilevel"/>
    <w:tmpl w:val="6704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535162"/>
    <w:multiLevelType w:val="multilevel"/>
    <w:tmpl w:val="B0E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2B5110"/>
    <w:multiLevelType w:val="hybridMultilevel"/>
    <w:tmpl w:val="E3CA6F9E"/>
    <w:lvl w:ilvl="0" w:tplc="CCEACBFA">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532F5B"/>
    <w:multiLevelType w:val="multilevel"/>
    <w:tmpl w:val="CFA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79534D"/>
    <w:multiLevelType w:val="multilevel"/>
    <w:tmpl w:val="0F1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60ED1"/>
    <w:multiLevelType w:val="multilevel"/>
    <w:tmpl w:val="449A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3668E3"/>
    <w:multiLevelType w:val="hybridMultilevel"/>
    <w:tmpl w:val="14462CC8"/>
    <w:lvl w:ilvl="0" w:tplc="5E22CF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CE51C9"/>
    <w:multiLevelType w:val="hybridMultilevel"/>
    <w:tmpl w:val="C47C7554"/>
    <w:lvl w:ilvl="0" w:tplc="48DC9A2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61083C"/>
    <w:multiLevelType w:val="hybridMultilevel"/>
    <w:tmpl w:val="49FEF6D0"/>
    <w:lvl w:ilvl="0" w:tplc="266A1FB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716D02"/>
    <w:multiLevelType w:val="hybridMultilevel"/>
    <w:tmpl w:val="447478EA"/>
    <w:lvl w:ilvl="0" w:tplc="C0B45B5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0E3CBA"/>
    <w:multiLevelType w:val="hybridMultilevel"/>
    <w:tmpl w:val="C270EC9A"/>
    <w:lvl w:ilvl="0" w:tplc="41D84D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542865"/>
    <w:multiLevelType w:val="hybridMultilevel"/>
    <w:tmpl w:val="3A6A60E2"/>
    <w:lvl w:ilvl="0" w:tplc="05A27E64">
      <w:start w:val="1"/>
      <w:numFmt w:val="decimal"/>
      <w:lvlText w:val="%1."/>
      <w:lvlJc w:val="left"/>
      <w:pPr>
        <w:ind w:left="1080" w:hanging="360"/>
      </w:pPr>
      <w:rPr>
        <w:rFonts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3577735"/>
    <w:multiLevelType w:val="multilevel"/>
    <w:tmpl w:val="F2F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D635D3"/>
    <w:multiLevelType w:val="multilevel"/>
    <w:tmpl w:val="2244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F37A32"/>
    <w:multiLevelType w:val="multilevel"/>
    <w:tmpl w:val="28F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D61B76"/>
    <w:multiLevelType w:val="hybridMultilevel"/>
    <w:tmpl w:val="F440C59A"/>
    <w:lvl w:ilvl="0" w:tplc="0A162DAE">
      <w:start w:val="1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3" w15:restartNumberingAfterBreak="0">
    <w:nsid w:val="713B3B61"/>
    <w:multiLevelType w:val="hybridMultilevel"/>
    <w:tmpl w:val="A742FE28"/>
    <w:lvl w:ilvl="0" w:tplc="6E40F21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9F3C74"/>
    <w:multiLevelType w:val="multilevel"/>
    <w:tmpl w:val="FE1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7457C2"/>
    <w:multiLevelType w:val="hybridMultilevel"/>
    <w:tmpl w:val="08B0C2B0"/>
    <w:lvl w:ilvl="0" w:tplc="3DEE37B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34"/>
  </w:num>
  <w:num w:numId="2" w16cid:durableId="337585185">
    <w:abstractNumId w:val="71"/>
    <w:lvlOverride w:ilvl="0">
      <w:startOverride w:val="2"/>
    </w:lvlOverride>
  </w:num>
  <w:num w:numId="3" w16cid:durableId="2131632349">
    <w:abstractNumId w:val="41"/>
    <w:lvlOverride w:ilvl="0">
      <w:startOverride w:val="3"/>
    </w:lvlOverride>
  </w:num>
  <w:num w:numId="4" w16cid:durableId="2018579773">
    <w:abstractNumId w:val="32"/>
    <w:lvlOverride w:ilvl="0">
      <w:startOverride w:val="4"/>
    </w:lvlOverride>
  </w:num>
  <w:num w:numId="5" w16cid:durableId="745881374">
    <w:abstractNumId w:val="30"/>
    <w:lvlOverride w:ilvl="0">
      <w:startOverride w:val="5"/>
    </w:lvlOverride>
  </w:num>
  <w:num w:numId="6" w16cid:durableId="1350332041">
    <w:abstractNumId w:val="47"/>
    <w:lvlOverride w:ilvl="0">
      <w:startOverride w:val="6"/>
    </w:lvlOverride>
  </w:num>
  <w:num w:numId="7" w16cid:durableId="1101953893">
    <w:abstractNumId w:val="50"/>
    <w:lvlOverride w:ilvl="0">
      <w:startOverride w:val="7"/>
    </w:lvlOverride>
  </w:num>
  <w:num w:numId="8" w16cid:durableId="1167403505">
    <w:abstractNumId w:val="54"/>
    <w:lvlOverride w:ilvl="0">
      <w:startOverride w:val="8"/>
    </w:lvlOverride>
  </w:num>
  <w:num w:numId="9" w16cid:durableId="1391416566">
    <w:abstractNumId w:val="48"/>
    <w:lvlOverride w:ilvl="0">
      <w:startOverride w:val="9"/>
    </w:lvlOverride>
  </w:num>
  <w:num w:numId="10" w16cid:durableId="32389044">
    <w:abstractNumId w:val="5"/>
  </w:num>
  <w:num w:numId="11" w16cid:durableId="534000003">
    <w:abstractNumId w:val="56"/>
  </w:num>
  <w:num w:numId="12" w16cid:durableId="513500608">
    <w:abstractNumId w:val="23"/>
  </w:num>
  <w:num w:numId="13" w16cid:durableId="249702164">
    <w:abstractNumId w:val="42"/>
  </w:num>
  <w:num w:numId="14" w16cid:durableId="1549993952">
    <w:abstractNumId w:val="21"/>
  </w:num>
  <w:num w:numId="15" w16cid:durableId="540485208">
    <w:abstractNumId w:val="39"/>
  </w:num>
  <w:num w:numId="16" w16cid:durableId="1975523578">
    <w:abstractNumId w:val="33"/>
  </w:num>
  <w:num w:numId="17" w16cid:durableId="1165701943">
    <w:abstractNumId w:val="38"/>
  </w:num>
  <w:num w:numId="18" w16cid:durableId="237711149">
    <w:abstractNumId w:val="9"/>
  </w:num>
  <w:num w:numId="19" w16cid:durableId="1588731075">
    <w:abstractNumId w:val="20"/>
  </w:num>
  <w:num w:numId="20" w16cid:durableId="1922524521">
    <w:abstractNumId w:val="67"/>
  </w:num>
  <w:num w:numId="21" w16cid:durableId="1678539421">
    <w:abstractNumId w:val="2"/>
  </w:num>
  <w:num w:numId="22" w16cid:durableId="1980647596">
    <w:abstractNumId w:val="44"/>
  </w:num>
  <w:num w:numId="23" w16cid:durableId="821233761">
    <w:abstractNumId w:val="40"/>
  </w:num>
  <w:num w:numId="24" w16cid:durableId="379481994">
    <w:abstractNumId w:val="14"/>
  </w:num>
  <w:num w:numId="25" w16cid:durableId="813835165">
    <w:abstractNumId w:val="65"/>
  </w:num>
  <w:num w:numId="26" w16cid:durableId="442725902">
    <w:abstractNumId w:val="12"/>
  </w:num>
  <w:num w:numId="27" w16cid:durableId="756512966">
    <w:abstractNumId w:val="72"/>
  </w:num>
  <w:num w:numId="28" w16cid:durableId="302123382">
    <w:abstractNumId w:val="36"/>
  </w:num>
  <w:num w:numId="29" w16cid:durableId="1629318415">
    <w:abstractNumId w:val="61"/>
  </w:num>
  <w:num w:numId="30" w16cid:durableId="1052579504">
    <w:abstractNumId w:val="64"/>
  </w:num>
  <w:num w:numId="31" w16cid:durableId="583219736">
    <w:abstractNumId w:val="43"/>
  </w:num>
  <w:num w:numId="32" w16cid:durableId="1251429">
    <w:abstractNumId w:val="57"/>
  </w:num>
  <w:num w:numId="33" w16cid:durableId="972371644">
    <w:abstractNumId w:val="35"/>
  </w:num>
  <w:num w:numId="34" w16cid:durableId="166092169">
    <w:abstractNumId w:val="69"/>
  </w:num>
  <w:num w:numId="35" w16cid:durableId="1653749783">
    <w:abstractNumId w:val="68"/>
  </w:num>
  <w:num w:numId="36" w16cid:durableId="919220445">
    <w:abstractNumId w:val="11"/>
  </w:num>
  <w:num w:numId="37" w16cid:durableId="1188179462">
    <w:abstractNumId w:val="59"/>
  </w:num>
  <w:num w:numId="38" w16cid:durableId="149640096">
    <w:abstractNumId w:val="66"/>
  </w:num>
  <w:num w:numId="39" w16cid:durableId="691804963">
    <w:abstractNumId w:val="19"/>
  </w:num>
  <w:num w:numId="40" w16cid:durableId="282158815">
    <w:abstractNumId w:val="74"/>
  </w:num>
  <w:num w:numId="41" w16cid:durableId="419253262">
    <w:abstractNumId w:val="10"/>
  </w:num>
  <w:num w:numId="42" w16cid:durableId="1628395648">
    <w:abstractNumId w:val="8"/>
  </w:num>
  <w:num w:numId="43" w16cid:durableId="1669672902">
    <w:abstractNumId w:val="16"/>
  </w:num>
  <w:num w:numId="44" w16cid:durableId="2135056609">
    <w:abstractNumId w:val="27"/>
  </w:num>
  <w:num w:numId="45" w16cid:durableId="1630891937">
    <w:abstractNumId w:val="58"/>
  </w:num>
  <w:num w:numId="46" w16cid:durableId="1326861291">
    <w:abstractNumId w:val="17"/>
  </w:num>
  <w:num w:numId="47" w16cid:durableId="559947314">
    <w:abstractNumId w:val="7"/>
  </w:num>
  <w:num w:numId="48" w16cid:durableId="2064330784">
    <w:abstractNumId w:val="18"/>
  </w:num>
  <w:num w:numId="49" w16cid:durableId="1094789676">
    <w:abstractNumId w:val="1"/>
  </w:num>
  <w:num w:numId="50" w16cid:durableId="1324041549">
    <w:abstractNumId w:val="29"/>
  </w:num>
  <w:num w:numId="51" w16cid:durableId="1568343603">
    <w:abstractNumId w:val="53"/>
  </w:num>
  <w:num w:numId="52" w16cid:durableId="252859795">
    <w:abstractNumId w:val="51"/>
  </w:num>
  <w:num w:numId="53" w16cid:durableId="935091385">
    <w:abstractNumId w:val="3"/>
  </w:num>
  <w:num w:numId="54" w16cid:durableId="505635730">
    <w:abstractNumId w:val="37"/>
  </w:num>
  <w:num w:numId="55" w16cid:durableId="1296132799">
    <w:abstractNumId w:val="22"/>
  </w:num>
  <w:num w:numId="56" w16cid:durableId="707797905">
    <w:abstractNumId w:val="63"/>
  </w:num>
  <w:num w:numId="57" w16cid:durableId="863714599">
    <w:abstractNumId w:val="13"/>
  </w:num>
  <w:num w:numId="58" w16cid:durableId="725639855">
    <w:abstractNumId w:val="45"/>
  </w:num>
  <w:num w:numId="59" w16cid:durableId="1285186757">
    <w:abstractNumId w:val="46"/>
  </w:num>
  <w:num w:numId="60" w16cid:durableId="1331912046">
    <w:abstractNumId w:val="73"/>
  </w:num>
  <w:num w:numId="61" w16cid:durableId="890118582">
    <w:abstractNumId w:val="52"/>
  </w:num>
  <w:num w:numId="62" w16cid:durableId="439495004">
    <w:abstractNumId w:val="4"/>
  </w:num>
  <w:num w:numId="63" w16cid:durableId="1830704203">
    <w:abstractNumId w:val="6"/>
  </w:num>
  <w:num w:numId="64" w16cid:durableId="1015812800">
    <w:abstractNumId w:val="25"/>
  </w:num>
  <w:num w:numId="65" w16cid:durableId="1162236690">
    <w:abstractNumId w:val="0"/>
  </w:num>
  <w:num w:numId="66" w16cid:durableId="128982458">
    <w:abstractNumId w:val="24"/>
  </w:num>
  <w:num w:numId="67" w16cid:durableId="1489790095">
    <w:abstractNumId w:val="28"/>
  </w:num>
  <w:num w:numId="68" w16cid:durableId="889194725">
    <w:abstractNumId w:val="26"/>
  </w:num>
  <w:num w:numId="69" w16cid:durableId="865211328">
    <w:abstractNumId w:val="70"/>
  </w:num>
  <w:num w:numId="70" w16cid:durableId="1333292602">
    <w:abstractNumId w:val="31"/>
  </w:num>
  <w:num w:numId="71" w16cid:durableId="721946992">
    <w:abstractNumId w:val="60"/>
  </w:num>
  <w:num w:numId="72" w16cid:durableId="1913615350">
    <w:abstractNumId w:val="55"/>
  </w:num>
  <w:num w:numId="73" w16cid:durableId="1469085928">
    <w:abstractNumId w:val="15"/>
  </w:num>
  <w:num w:numId="74" w16cid:durableId="1029843752">
    <w:abstractNumId w:val="49"/>
  </w:num>
  <w:num w:numId="75" w16cid:durableId="188987833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luat-thu-do-2024-360812-d1.html" TargetMode="External"/><Relationship Id="rId18" Type="http://schemas.openxmlformats.org/officeDocument/2006/relationships/hyperlink" Target="https://thuvienphapluat.vn/van-ban/Bo-may-hanh-chinh/Luat-To-chuc-Toa-an-nhan-dan-2024-580434.aspx" TargetMode="External"/><Relationship Id="rId26" Type="http://schemas.openxmlformats.org/officeDocument/2006/relationships/hyperlink" Target="https://luatvietnam.vn/giao-thong/luat-duong-bo-cua-quoc-hoi-so-35-2024-qh15-360336-d1.html" TargetMode="External"/><Relationship Id="rId39" Type="http://schemas.openxmlformats.org/officeDocument/2006/relationships/hyperlink" Target="https://thuvienphapluat.vn/van-ban/dau-tu/Luat-Dau-tu-cong-2024-so-58-2024-QH15-621645.aspx" TargetMode="External"/><Relationship Id="rId21" Type="http://schemas.openxmlformats.org/officeDocument/2006/relationships/hyperlink" Target="https://luatvietnam.vn/an-ninh-quoc-gia/luat-quan-ly-su-dung-vu-khi-vat-lieu-no-va-cong-cu-ho-tro-cua-quoc-hoi-so-42-2024-qh15-360811-d1.html" TargetMode="External"/><Relationship Id="rId34" Type="http://schemas.openxmlformats.org/officeDocument/2006/relationships/hyperlink" Target="https://thuvienphapluat.vn/van-ban/dau-tu/Luat-Dau-tu-cong-2024-so-58-2024-QH15-621645.aspx" TargetMode="External"/><Relationship Id="rId42" Type="http://schemas.openxmlformats.org/officeDocument/2006/relationships/hyperlink" Target="https://thuvienphapluat.vn/van-ban/Doanh-nghiep/Luat-Dau-tu-so-61-2020-QH14-321051.aspx" TargetMode="External"/><Relationship Id="rId47" Type="http://schemas.openxmlformats.org/officeDocument/2006/relationships/hyperlink" Target="https://thuvienphapluat.vn/van-ban/Giao-thong-Van-tai/Luat-trat-tu-an-toan-giao-thong-duong-bo-2024-so-36-2024-QH15-444251.aspx" TargetMode="External"/><Relationship Id="rId50" Type="http://schemas.openxmlformats.org/officeDocument/2006/relationships/hyperlink" Target="https://thuvienphapluat.vn/van-ban/Giao-thong-Van-tai/Thong-tu-35-2024-TT-BGTVT-dao-tao-sat-hach-cap-giay-phep-lai-xe-quoc-te-624356.aspx" TargetMode="External"/><Relationship Id="rId55" Type="http://schemas.openxmlformats.org/officeDocument/2006/relationships/hyperlink" Target="https://thuvienphapluat.vn/van-ban/Dau-tu/Luat-Dau-thau-2023-22-2023-QH15-518805.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uatvietnam.vn/tu-phap/luat-to-chuc-toa-an-nhan-dan-2024-360843-d1.html" TargetMode="External"/><Relationship Id="rId29" Type="http://schemas.openxmlformats.org/officeDocument/2006/relationships/hyperlink" Target="https://luatvietnam.vn/tai-chinh/luat-sua-doi-9-luat-luat-chung-khoan-luat-ke-toan-luat-quan-ly-thue-luat-thue-thu-nhap-ca-nhan-so-56-2024-qh15-380162-d1.html" TargetMode="External"/><Relationship Id="rId11" Type="http://schemas.openxmlformats.org/officeDocument/2006/relationships/hyperlink" Target="https://thuvienphapluat.vn/van-ban/giao-thong-van-tai/Luat-trat-tu-an-toan-giao-thong-duong-bo-2024-so-36-2024-QH15-444251.aspx" TargetMode="External"/><Relationship Id="rId24" Type="http://schemas.openxmlformats.org/officeDocument/2006/relationships/hyperlink" Target="https://thuvienphapluat.vn/van-ban/Bo-may-hanh-chinh/Luat-Canh-ve-2017-280117.aspx" TargetMode="External"/><Relationship Id="rId32" Type="http://schemas.openxmlformats.org/officeDocument/2006/relationships/hyperlink" Target="https://thuvienphapluat.vn/bulletin/document.aspx?key=fzB%2fF9f3Y%2f0I5MF2FoyIXA%3d%3d&amp;bid=91a4a291-ef2e-45fa-a7b7-b8ba20ee2629" TargetMode="External"/><Relationship Id="rId37" Type="http://schemas.openxmlformats.org/officeDocument/2006/relationships/hyperlink" Target="https://thuvienphapluat.vn/van-ban/dau-tu/Luat-Dau-tu-cong-2024-so-58-2024-QH15-621645.aspx" TargetMode="External"/><Relationship Id="rId40" Type="http://schemas.openxmlformats.org/officeDocument/2006/relationships/hyperlink" Target="https://thuvienphapluat.vn/van-ban/Dau-tu/Luat-sua-doi-Luat-Quy-hoach-Luat-Dau-tu-Luat-Dau-tu-theo-phuong-thuc-doi-tac-cong-tu-Luat-Dau-thau-2024-623631.aspx" TargetMode="External"/><Relationship Id="rId45" Type="http://schemas.openxmlformats.org/officeDocument/2006/relationships/hyperlink" Target="https://thuvienphapluat.vn/van-ban/Thuong-mai/Nghi-quyet-43-2022-QH15-chinh-sach-tai-khoa-tien-te-phuc-hoi-phat-trien-kinh-te-xa-hoi-500776.aspx" TargetMode="External"/><Relationship Id="rId53" Type="http://schemas.openxmlformats.org/officeDocument/2006/relationships/hyperlink" Target="https://thuvienphapluat.vn/van-ban/Giao-thong-Van-tai/Luat-trat-tu-an-toan-giao-thong-duong-bo-2024-so-36-2024-QH15-444251.a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thuvienphapluat.vn/van-ban/Bo-may-hanh-chinh/Luat-To-chuc-Toa-an-nhan-dan-2024-580434.aspx" TargetMode="External"/><Relationship Id="rId4" Type="http://schemas.openxmlformats.org/officeDocument/2006/relationships/settings" Target="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phapluat.vn/van-ban/Bo-may-hanh-chinh/Luat-Thu-do-2024-575158.aspx" TargetMode="External"/><Relationship Id="rId22" Type="http://schemas.openxmlformats.org/officeDocument/2006/relationships/hyperlink" Target="https://luatvietnam.vn/an-ninh-trat-tu/luat-sua-doi-bo-sung-mot-so-dieu-cua-luat-canh-ve-so-40-2024-qh15-360810-d1.html" TargetMode="External"/><Relationship Id="rId27" Type="http://schemas.openxmlformats.org/officeDocument/2006/relationships/hyperlink" Target="https://luatvietnam.vn/xay-dung/luat-quan-ly-bao-ve-cong-trinh-quoc-phong-va-khu-quan-su-2023-285312-d1.html" TargetMode="External"/><Relationship Id="rId30" Type="http://schemas.openxmlformats.org/officeDocument/2006/relationships/hyperlink" Target="https://thuvienphapluat.vn/van-ban/Thue-Phi-Le-Phi/Luat-sua-doi-Luat-Chung-khoan-Ke-toan-Ngan-sach-Nha-nuoc-Thue-thu-nhap-ca-nhan-2024-622318.aspx" TargetMode="External"/><Relationship Id="rId35" Type="http://schemas.openxmlformats.org/officeDocument/2006/relationships/hyperlink" Target="https://thuvienphapluat.vn/van-ban/dau-tu/Luat-Dau-tu-cong-2024-so-58-2024-QH15-621645.aspx" TargetMode="External"/><Relationship Id="rId43" Type="http://schemas.openxmlformats.org/officeDocument/2006/relationships/hyperlink" Target="https://thuvienphapluat.vn/bulletin/document.aspx?key=Svy0RIrwy3ZdOwnYFMd9cA%3d%3d&amp;bid=91a4a291-ef2e-45fa-a7b7-b8ba20ee2629" TargetMode="External"/><Relationship Id="rId48" Type="http://schemas.openxmlformats.org/officeDocument/2006/relationships/hyperlink" Target="https://thuvienphapluat.vn/van-ban/Giao-thong-Van-tai/Luat-trat-tu-an-toan-giao-thong-duong-bo-2024-so-36-2024-QH15-444251.aspx" TargetMode="External"/><Relationship Id="rId56" Type="http://schemas.openxmlformats.org/officeDocument/2006/relationships/hyperlink" Target="https://thuvienphapluat.vn/van-ban/Giao-thong-Van-tai/Luat-trat-tu-an-toan-giao-thong-duong-bo-2024-so-36-2024-QH15-444251.aspx" TargetMode="External"/><Relationship Id="rId8" Type="http://schemas.openxmlformats.org/officeDocument/2006/relationships/hyperlink" Target="https://luatvietnam.vn/giao-thong/luat-trat-tu-an-toan-giao-thong-duong-bo-cua-quoc-hoi-so-36-2024-qh15-360844-d1.html" TargetMode="External"/><Relationship Id="rId51" Type="http://schemas.openxmlformats.org/officeDocument/2006/relationships/hyperlink" Target="https://thuvienphapluat.vn/van-ban/Giao-thong-Van-tai/Thong-tu-35-2024-TT-BGTVT-dao-tao-sat-hach-cap-giay-phep-lai-xe-quoc-te-624356.aspx" TargetMode="External"/><Relationship Id="rId3" Type="http://schemas.openxmlformats.org/officeDocument/2006/relationships/styles" Target="styles.xml"/><Relationship Id="rId12" Type="http://schemas.openxmlformats.org/officeDocument/2006/relationships/hyperlink" Target="https://luatvietnam.vn/tai-chinh/luat-sua-doi-bo-sung-mot-so-dieu-cua-luat-dau-gia-tai-san-cua-quoc-hoi-so-37-2024-qh15-360814-d1.html" TargetMode="External"/><Relationship Id="rId17" Type="http://schemas.openxmlformats.org/officeDocument/2006/relationships/hyperlink" Target="https://thuvienphapluat.vn/van-ban/Bo-may-hanh-chinh/Luat-to-chuc-Toa-an-nhan-dan-2014-259724.aspx" TargetMode="External"/><Relationship Id="rId25" Type="http://schemas.openxmlformats.org/officeDocument/2006/relationships/hyperlink" Target="https://thuvienphapluat.vn/van-ban/Bo-may-hanh-chinh/Luat-Canh-ve-2017-280117.aspx" TargetMode="External"/><Relationship Id="rId33" Type="http://schemas.openxmlformats.org/officeDocument/2006/relationships/hyperlink" Target="https://thuvienphapluat.vn/van-ban/dau-tu/Luat-Dau-tu-cong-2024-so-58-2024-QH15-621645.aspx" TargetMode="External"/><Relationship Id="rId38" Type="http://schemas.openxmlformats.org/officeDocument/2006/relationships/hyperlink" Target="https://thuvienphapluat.vn/van-ban/dau-tu/Luat-Dau-tu-cong-2024-so-58-2024-QH15-621645.aspx" TargetMode="External"/><Relationship Id="rId46" Type="http://schemas.openxmlformats.org/officeDocument/2006/relationships/hyperlink" Target="https://thuvienphapluat.vn/van-ban/Giao-thong-Van-tai/Luat-trat-tu-an-toan-giao-thong-duong-bo-2024-so-36-2024-QH15-444251.aspx" TargetMode="External"/><Relationship Id="rId59" Type="http://schemas.openxmlformats.org/officeDocument/2006/relationships/theme" Target="theme/theme1.xml"/><Relationship Id="rId20" Type="http://schemas.openxmlformats.org/officeDocument/2006/relationships/hyperlink" Target="https://thuvienphapluat.vn/van-ban/Bo-may-hanh-chinh/Luat-To-chuc-Toa-an-nhan-dan-2024-580434.aspx" TargetMode="External"/><Relationship Id="rId41" Type="http://schemas.openxmlformats.org/officeDocument/2006/relationships/hyperlink" Target="https://thuvienphapluat.vn/van-ban/Doanh-nghiep/Luat-Dau-tu-so-61-2020-QH14-321051.aspx" TargetMode="External"/><Relationship Id="rId54" Type="http://schemas.openxmlformats.org/officeDocument/2006/relationships/hyperlink" Target="https://thuvienphapluat.vn/van-ban/Giao-thong-Van-tai/Thong-tu-35-2024-TT-BGTVT-dao-tao-sat-hach-cap-giay-phep-lai-xe-quoc-te-624356.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vienphapluat.vn/van-ban/Bo-may-hanh-chinh/Luat-Thu-do-2024-575158.aspx" TargetMode="External"/><Relationship Id="rId23" Type="http://schemas.openxmlformats.org/officeDocument/2006/relationships/hyperlink" Target="https://thuvienphapluat.vn/van-ban/Bo-may-hanh-chinh/Luat-Canh-ve-sua-doi-2024-564046.aspx" TargetMode="External"/><Relationship Id="rId28" Type="http://schemas.openxmlformats.org/officeDocument/2006/relationships/hyperlink" Target="https://thuvienphapluat.vn/van-ban/Bo-may-hanh-chinh/Luat-quan-ly-bao-ve-cong-trinh-quoc-phong-va-khu-quan-su-25-2023-QH15-548477.aspx" TargetMode="External"/><Relationship Id="rId36" Type="http://schemas.openxmlformats.org/officeDocument/2006/relationships/hyperlink" Target="https://thuvienphapluat.vn/van-ban/dau-tu/Luat-Dau-tu-cong-2024-so-58-2024-QH15-621645.aspx" TargetMode="External"/><Relationship Id="rId49" Type="http://schemas.openxmlformats.org/officeDocument/2006/relationships/hyperlink" Target="https://thuvienphapluat.vn/van-ban/Giao-thong-Van-tai/Thong-tu-35-2024-TT-BGTVT-dao-tao-sat-hach-cap-giay-phep-lai-xe-quoc-te-624356.aspx" TargetMode="External"/><Relationship Id="rId57" Type="http://schemas.openxmlformats.org/officeDocument/2006/relationships/header" Target="header1.xml"/><Relationship Id="rId10" Type="http://schemas.openxmlformats.org/officeDocument/2006/relationships/hyperlink" Target="https://thuvienphapluat.vn/van-ban/giao-thong-van-tai/Luat-trat-tu-an-toan-giao-thong-duong-bo-2024-so-36-2024-QH15-444251.aspx" TargetMode="External"/><Relationship Id="rId31" Type="http://schemas.openxmlformats.org/officeDocument/2006/relationships/hyperlink" Target="https://thuvienphapluat.vn/van-ban/Thue-Phi-Le-Phi/Luat-quan-ly-thue-2019-387595.aspx" TargetMode="External"/><Relationship Id="rId44" Type="http://schemas.openxmlformats.org/officeDocument/2006/relationships/hyperlink" Target="https://luatvietnam.vn/chinh-sach/nghi-quyet-174-2024-qh15-cua-quoc-hoi-ky-hop-thu-8-quoc-hoi-khoa-xv-379857-d1.html" TargetMode="External"/><Relationship Id="rId52" Type="http://schemas.openxmlformats.org/officeDocument/2006/relationships/hyperlink" Target="https://thuvienphapluat.vn/van-ban/Giao-thong-Van-tai/Thong-tu-35-2024-TT-BGTVT-dao-tao-sat-hach-cap-giay-phep-lai-xe-quoc-te-6243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9180</Words>
  <Characters>52327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2024-01-31T07:08:00Z</cp:lastPrinted>
  <dcterms:created xsi:type="dcterms:W3CDTF">2024-12-31T15:41:00Z</dcterms:created>
  <dcterms:modified xsi:type="dcterms:W3CDTF">2025-01-01T04:26:00Z</dcterms:modified>
</cp:coreProperties>
</file>